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 w:val="left" w:pos="5145"/>
        </w:tabs>
        <w:spacing w:line="360" w:lineRule="auto"/>
        <w:rPr>
          <w:rFonts w:ascii="宋体" w:hAnsi="宋体" w:cs="宋体"/>
          <w:b/>
          <w:color w:val="auto"/>
          <w:sz w:val="28"/>
          <w:szCs w:val="28"/>
          <w:highlight w:val="none"/>
        </w:rPr>
      </w:pPr>
      <w:bookmarkStart w:id="0" w:name="_Toc268"/>
      <w:bookmarkStart w:id="1" w:name="_Toc519156735"/>
      <w:bookmarkStart w:id="2" w:name="_Toc495908398"/>
      <w:bookmarkStart w:id="3" w:name="_Toc21955"/>
      <w:r>
        <w:rPr>
          <w:rFonts w:hint="eastAsia" w:ascii="宋体" w:hAnsi="宋体" w:cs="宋体"/>
          <w:b/>
          <w:color w:val="auto"/>
          <w:sz w:val="28"/>
          <w:szCs w:val="28"/>
          <w:highlight w:val="none"/>
        </w:rPr>
        <w:t>项目编号:DRZB2019-ZC-204</w:t>
      </w:r>
    </w:p>
    <w:p>
      <w:pPr>
        <w:tabs>
          <w:tab w:val="left" w:pos="4620"/>
          <w:tab w:val="left" w:pos="5145"/>
        </w:tabs>
        <w:spacing w:before="100" w:beforeAutospacing="1" w:after="100" w:afterAutospacing="1" w:line="360" w:lineRule="auto"/>
        <w:ind w:firstLine="10" w:firstLineChars="50"/>
        <w:outlineLvl w:val="0"/>
        <w:rPr>
          <w:rFonts w:ascii="宋体" w:hAnsi="宋体" w:cs="宋体"/>
          <w:b/>
          <w:color w:val="auto"/>
          <w:sz w:val="2"/>
          <w:szCs w:val="30"/>
          <w:highlight w:val="none"/>
        </w:rPr>
      </w:pPr>
    </w:p>
    <w:p>
      <w:pPr>
        <w:pStyle w:val="2"/>
        <w:rPr>
          <w:color w:val="auto"/>
          <w:highlight w:val="none"/>
        </w:rPr>
      </w:pPr>
    </w:p>
    <w:p>
      <w:pPr>
        <w:tabs>
          <w:tab w:val="left" w:pos="5145"/>
        </w:tabs>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陕西省退役军人事务厅优抚对象2020年春节慰问年画采购项目</w:t>
      </w:r>
    </w:p>
    <w:p>
      <w:pPr>
        <w:tabs>
          <w:tab w:val="left" w:pos="5145"/>
        </w:tabs>
        <w:spacing w:line="360" w:lineRule="auto"/>
        <w:jc w:val="center"/>
        <w:rPr>
          <w:rFonts w:ascii="宋体" w:hAnsi="宋体" w:cs="宋体"/>
          <w:b/>
          <w:bCs/>
          <w:color w:val="auto"/>
          <w:sz w:val="44"/>
          <w:szCs w:val="44"/>
          <w:highlight w:val="none"/>
        </w:rPr>
      </w:pPr>
    </w:p>
    <w:p>
      <w:pPr>
        <w:pStyle w:val="4"/>
        <w:rPr>
          <w:rFonts w:ascii="宋体" w:hAnsi="宋体" w:cs="宋体"/>
          <w:color w:val="auto"/>
          <w:sz w:val="44"/>
          <w:szCs w:val="44"/>
          <w:highlight w:val="none"/>
        </w:rPr>
      </w:pPr>
    </w:p>
    <w:p>
      <w:pPr>
        <w:pStyle w:val="4"/>
        <w:rPr>
          <w:rFonts w:ascii="宋体" w:hAnsi="宋体" w:cs="宋体"/>
          <w:color w:val="auto"/>
          <w:sz w:val="44"/>
          <w:szCs w:val="44"/>
          <w:highlight w:val="none"/>
        </w:rPr>
      </w:pPr>
    </w:p>
    <w:p>
      <w:pPr>
        <w:rPr>
          <w:rFonts w:ascii="宋体" w:hAnsi="宋体" w:cs="宋体"/>
          <w:color w:val="auto"/>
          <w:highlight w:val="none"/>
        </w:rPr>
      </w:pPr>
    </w:p>
    <w:p>
      <w:pPr>
        <w:pStyle w:val="4"/>
        <w:rPr>
          <w:rFonts w:ascii="宋体" w:hAnsi="宋体" w:cs="宋体"/>
          <w:color w:val="auto"/>
          <w:highlight w:val="none"/>
        </w:rPr>
      </w:pPr>
    </w:p>
    <w:p>
      <w:pPr>
        <w:tabs>
          <w:tab w:val="left" w:pos="5145"/>
        </w:tabs>
        <w:spacing w:line="360" w:lineRule="auto"/>
        <w:jc w:val="center"/>
        <w:rPr>
          <w:rFonts w:ascii="宋体" w:hAnsi="宋体" w:cs="宋体"/>
          <w:b/>
          <w:bCs/>
          <w:color w:val="auto"/>
          <w:sz w:val="52"/>
          <w:szCs w:val="52"/>
          <w:highlight w:val="none"/>
        </w:rPr>
      </w:pPr>
      <w:r>
        <w:rPr>
          <w:rFonts w:hint="eastAsia" w:ascii="宋体" w:hAnsi="宋体" w:cs="宋体"/>
          <w:b/>
          <w:bCs/>
          <w:color w:val="auto"/>
          <w:sz w:val="52"/>
          <w:szCs w:val="52"/>
          <w:highlight w:val="none"/>
        </w:rPr>
        <w:t>竞争性磋商文件</w:t>
      </w:r>
    </w:p>
    <w:p>
      <w:pPr>
        <w:tabs>
          <w:tab w:val="left" w:pos="5145"/>
        </w:tabs>
        <w:spacing w:line="360" w:lineRule="auto"/>
        <w:jc w:val="center"/>
        <w:rPr>
          <w:rFonts w:ascii="宋体" w:hAnsi="宋体" w:cs="宋体"/>
          <w:b/>
          <w:bCs/>
          <w:color w:val="auto"/>
          <w:sz w:val="24"/>
          <w:highlight w:val="none"/>
        </w:rPr>
      </w:pPr>
    </w:p>
    <w:p>
      <w:pPr>
        <w:pStyle w:val="4"/>
        <w:rPr>
          <w:rFonts w:ascii="宋体" w:hAnsi="宋体" w:cs="宋体"/>
          <w:color w:val="auto"/>
          <w:sz w:val="32"/>
          <w:highlight w:val="none"/>
        </w:rPr>
      </w:pPr>
    </w:p>
    <w:p>
      <w:pPr>
        <w:rPr>
          <w:color w:val="auto"/>
          <w:highlight w:val="none"/>
        </w:rPr>
      </w:pPr>
    </w:p>
    <w:p>
      <w:pPr>
        <w:tabs>
          <w:tab w:val="left" w:pos="5145"/>
        </w:tabs>
        <w:spacing w:line="360" w:lineRule="auto"/>
        <w:jc w:val="center"/>
        <w:rPr>
          <w:rFonts w:ascii="宋体" w:hAnsi="宋体" w:cs="宋体"/>
          <w:b/>
          <w:color w:val="auto"/>
          <w:sz w:val="28"/>
          <w:szCs w:val="28"/>
          <w:highlight w:val="none"/>
        </w:rPr>
      </w:pPr>
    </w:p>
    <w:p>
      <w:pPr>
        <w:snapToGrid w:val="0"/>
        <w:spacing w:line="360" w:lineRule="auto"/>
        <w:ind w:firstLine="1590" w:firstLineChars="495"/>
        <w:rPr>
          <w:rFonts w:ascii="宋体" w:hAnsi="宋体" w:cs="宋体"/>
          <w:b/>
          <w:color w:val="auto"/>
          <w:sz w:val="32"/>
          <w:highlight w:val="none"/>
        </w:rPr>
      </w:pPr>
    </w:p>
    <w:p>
      <w:pPr>
        <w:snapToGrid w:val="0"/>
        <w:spacing w:line="360" w:lineRule="auto"/>
        <w:rPr>
          <w:rFonts w:ascii="宋体" w:hAnsi="宋体" w:cs="宋体"/>
          <w:b/>
          <w:color w:val="auto"/>
          <w:sz w:val="32"/>
          <w:highlight w:val="none"/>
        </w:rPr>
      </w:pPr>
    </w:p>
    <w:p>
      <w:pPr>
        <w:spacing w:line="8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 购 人：陕西省退役军人事务厅</w:t>
      </w:r>
    </w:p>
    <w:p>
      <w:pPr>
        <w:spacing w:line="8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代理机构：陕西德仁招标有限公司</w:t>
      </w:r>
    </w:p>
    <w:p>
      <w:pPr>
        <w:spacing w:line="8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二零一九年十二月</w:t>
      </w:r>
    </w:p>
    <w:p>
      <w:pPr>
        <w:snapToGrid w:val="0"/>
        <w:spacing w:line="360" w:lineRule="auto"/>
        <w:jc w:val="center"/>
        <w:rPr>
          <w:rFonts w:ascii="宋体" w:hAnsi="宋体" w:cs="宋体"/>
          <w:b/>
          <w:color w:val="auto"/>
          <w:sz w:val="36"/>
          <w:szCs w:val="36"/>
          <w:highlight w:val="none"/>
        </w:rPr>
        <w:sectPr>
          <w:headerReference r:id="rId3" w:type="default"/>
          <w:footerReference r:id="rId5" w:type="default"/>
          <w:headerReference r:id="rId4" w:type="even"/>
          <w:footerReference r:id="rId6" w:type="even"/>
          <w:pgSz w:w="11906" w:h="16838"/>
          <w:pgMar w:top="1440" w:right="1417" w:bottom="1440" w:left="1587" w:header="850" w:footer="992" w:gutter="0"/>
          <w:pgNumType w:fmt="numberInDash" w:start="1"/>
          <w:cols w:space="0" w:num="1"/>
          <w:titlePg/>
          <w:docGrid w:type="lines" w:linePitch="312" w:charSpace="0"/>
        </w:sectPr>
      </w:pPr>
    </w:p>
    <w:p>
      <w:pPr>
        <w:rPr>
          <w:color w:val="auto"/>
          <w:highlight w:val="none"/>
        </w:rPr>
      </w:pPr>
    </w:p>
    <w:p>
      <w:pPr>
        <w:tabs>
          <w:tab w:val="left" w:pos="2530"/>
          <w:tab w:val="center" w:pos="4513"/>
        </w:tabs>
        <w:snapToGrid w:val="0"/>
        <w:spacing w:line="360" w:lineRule="auto"/>
        <w:jc w:val="left"/>
        <w:rPr>
          <w:rFonts w:ascii="宋体" w:hAnsi="宋体" w:cs="宋体"/>
          <w:b/>
          <w:bCs/>
          <w:color w:val="auto"/>
          <w:sz w:val="40"/>
          <w:szCs w:val="40"/>
          <w:highlight w:val="none"/>
        </w:rPr>
      </w:pPr>
      <w:r>
        <w:rPr>
          <w:rFonts w:hint="eastAsia" w:ascii="宋体" w:hAnsi="宋体" w:cs="宋体"/>
          <w:b/>
          <w:bCs/>
          <w:color w:val="auto"/>
          <w:sz w:val="40"/>
          <w:szCs w:val="40"/>
          <w:highlight w:val="none"/>
        </w:rPr>
        <w:tab/>
      </w:r>
      <w:r>
        <w:rPr>
          <w:rFonts w:hint="eastAsia" w:ascii="宋体" w:hAnsi="宋体" w:cs="宋体"/>
          <w:b/>
          <w:bCs/>
          <w:color w:val="auto"/>
          <w:sz w:val="40"/>
          <w:szCs w:val="40"/>
          <w:highlight w:val="none"/>
        </w:rPr>
        <w:tab/>
      </w:r>
      <w:r>
        <w:rPr>
          <w:rFonts w:hint="eastAsia" w:ascii="宋体" w:hAnsi="宋体" w:cs="宋体"/>
          <w:b/>
          <w:bCs/>
          <w:color w:val="auto"/>
          <w:sz w:val="40"/>
          <w:szCs w:val="40"/>
          <w:highlight w:val="none"/>
        </w:rPr>
        <w:t>目    录</w:t>
      </w:r>
    </w:p>
    <w:p>
      <w:pPr>
        <w:pStyle w:val="19"/>
        <w:tabs>
          <w:tab w:val="right" w:leader="dot" w:pos="8902"/>
        </w:tabs>
        <w:spacing w:line="360" w:lineRule="auto"/>
        <w:rPr>
          <w:rFonts w:ascii="宋体" w:hAnsi="宋体" w:cs="宋体"/>
          <w:color w:val="auto"/>
          <w:sz w:val="24"/>
          <w:szCs w:val="32"/>
          <w:highlight w:val="none"/>
        </w:rPr>
      </w:pPr>
      <w:r>
        <w:rPr>
          <w:rFonts w:hint="eastAsia" w:ascii="宋体" w:hAnsi="宋体" w:cs="宋体"/>
          <w:color w:val="auto"/>
          <w:sz w:val="56"/>
          <w:szCs w:val="56"/>
          <w:highlight w:val="none"/>
        </w:rPr>
        <w:fldChar w:fldCharType="begin"/>
      </w:r>
      <w:r>
        <w:rPr>
          <w:rFonts w:hint="eastAsia" w:ascii="宋体" w:hAnsi="宋体" w:cs="宋体"/>
          <w:color w:val="auto"/>
          <w:sz w:val="56"/>
          <w:szCs w:val="56"/>
          <w:highlight w:val="none"/>
        </w:rPr>
        <w:instrText xml:space="preserve">TOC \o "1-2" \h \u </w:instrText>
      </w:r>
      <w:r>
        <w:rPr>
          <w:rFonts w:hint="eastAsia" w:ascii="宋体" w:hAnsi="宋体" w:cs="宋体"/>
          <w:color w:val="auto"/>
          <w:sz w:val="56"/>
          <w:szCs w:val="56"/>
          <w:highlight w:val="none"/>
        </w:rPr>
        <w:fldChar w:fldCharType="separate"/>
      </w:r>
      <w:r>
        <w:rPr>
          <w:color w:val="auto"/>
          <w:highlight w:val="none"/>
        </w:rPr>
        <w:fldChar w:fldCharType="begin"/>
      </w:r>
      <w:r>
        <w:rPr>
          <w:color w:val="auto"/>
          <w:highlight w:val="none"/>
        </w:rPr>
        <w:instrText xml:space="preserve"> HYPERLINK \l "_Toc3979" </w:instrText>
      </w:r>
      <w:r>
        <w:rPr>
          <w:color w:val="auto"/>
          <w:highlight w:val="none"/>
        </w:rPr>
        <w:fldChar w:fldCharType="separate"/>
      </w:r>
      <w:r>
        <w:rPr>
          <w:rFonts w:hint="eastAsia" w:ascii="宋体" w:hAnsi="宋体" w:cs="宋体"/>
          <w:bCs/>
          <w:color w:val="auto"/>
          <w:sz w:val="24"/>
          <w:szCs w:val="40"/>
          <w:highlight w:val="none"/>
        </w:rPr>
        <w:t>第一部分  竞争性磋商公告</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_Toc3979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"_Toc19027" </w:instrText>
      </w:r>
      <w:r>
        <w:rPr>
          <w:color w:val="auto"/>
          <w:highlight w:val="none"/>
        </w:rPr>
        <w:fldChar w:fldCharType="separate"/>
      </w:r>
      <w:r>
        <w:rPr>
          <w:rFonts w:hint="eastAsia" w:ascii="宋体" w:hAnsi="宋体" w:cs="宋体"/>
          <w:color w:val="auto"/>
          <w:sz w:val="24"/>
          <w:szCs w:val="40"/>
          <w:highlight w:val="none"/>
        </w:rPr>
        <w:t>第二部分  磋商供应商须知</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_Toc19027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- 5 -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"_Toc29464" </w:instrText>
      </w:r>
      <w:r>
        <w:rPr>
          <w:color w:val="auto"/>
          <w:highlight w:val="none"/>
        </w:rPr>
        <w:fldChar w:fldCharType="separate"/>
      </w:r>
      <w:r>
        <w:rPr>
          <w:rFonts w:hint="eastAsia" w:ascii="宋体" w:hAnsi="宋体" w:cs="宋体"/>
          <w:color w:val="auto"/>
          <w:sz w:val="24"/>
          <w:szCs w:val="32"/>
          <w:highlight w:val="none"/>
        </w:rPr>
        <w:t>一．名词解释</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_Toc29464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- 12 -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"_Toc24609" </w:instrText>
      </w:r>
      <w:r>
        <w:rPr>
          <w:color w:val="auto"/>
          <w:highlight w:val="none"/>
        </w:rPr>
        <w:fldChar w:fldCharType="separate"/>
      </w:r>
      <w:r>
        <w:rPr>
          <w:rFonts w:hint="eastAsia" w:ascii="宋体" w:hAnsi="宋体" w:cs="宋体"/>
          <w:color w:val="auto"/>
          <w:sz w:val="24"/>
          <w:szCs w:val="36"/>
          <w:highlight w:val="none"/>
        </w:rPr>
        <w:t>二．磋商供应商</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_Toc24609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- 12 -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"_Toc19177" </w:instrText>
      </w:r>
      <w:r>
        <w:rPr>
          <w:color w:val="auto"/>
          <w:highlight w:val="none"/>
        </w:rPr>
        <w:fldChar w:fldCharType="separate"/>
      </w:r>
      <w:r>
        <w:rPr>
          <w:rFonts w:hint="eastAsia" w:ascii="宋体" w:hAnsi="宋体" w:cs="宋体"/>
          <w:color w:val="auto"/>
          <w:sz w:val="24"/>
          <w:szCs w:val="40"/>
          <w:highlight w:val="none"/>
        </w:rPr>
        <w:t>三．磋商文件</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_Toc19177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- 14 -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"_Toc32022" </w:instrText>
      </w:r>
      <w:r>
        <w:rPr>
          <w:color w:val="auto"/>
          <w:highlight w:val="none"/>
        </w:rPr>
        <w:fldChar w:fldCharType="separate"/>
      </w:r>
      <w:r>
        <w:rPr>
          <w:rFonts w:hint="eastAsia" w:ascii="宋体" w:hAnsi="宋体" w:cs="宋体"/>
          <w:color w:val="auto"/>
          <w:sz w:val="24"/>
          <w:szCs w:val="36"/>
          <w:highlight w:val="none"/>
        </w:rPr>
        <w:t>四．磋商要求</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_Toc32022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- 15 -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"_Toc13940" </w:instrText>
      </w:r>
      <w:r>
        <w:rPr>
          <w:color w:val="auto"/>
          <w:highlight w:val="none"/>
        </w:rPr>
        <w:fldChar w:fldCharType="separate"/>
      </w:r>
      <w:r>
        <w:rPr>
          <w:rFonts w:hint="eastAsia" w:ascii="宋体" w:hAnsi="宋体" w:cs="宋体"/>
          <w:color w:val="auto"/>
          <w:sz w:val="24"/>
          <w:szCs w:val="36"/>
          <w:highlight w:val="none"/>
        </w:rPr>
        <w:t>五．磋商响应文件封装、递交</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_Toc13940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- 18 -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"_Toc25686" </w:instrText>
      </w:r>
      <w:r>
        <w:rPr>
          <w:color w:val="auto"/>
          <w:highlight w:val="none"/>
        </w:rPr>
        <w:fldChar w:fldCharType="separate"/>
      </w:r>
      <w:r>
        <w:rPr>
          <w:rFonts w:hint="eastAsia" w:ascii="宋体" w:hAnsi="宋体" w:cs="宋体"/>
          <w:color w:val="auto"/>
          <w:sz w:val="24"/>
          <w:szCs w:val="32"/>
          <w:highlight w:val="none"/>
        </w:rPr>
        <w:t>六．磋商与评审</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_Toc25686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- 20 -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"_Toc12204" </w:instrText>
      </w:r>
      <w:r>
        <w:rPr>
          <w:color w:val="auto"/>
          <w:highlight w:val="none"/>
        </w:rPr>
        <w:fldChar w:fldCharType="separate"/>
      </w:r>
      <w:r>
        <w:rPr>
          <w:rFonts w:hint="eastAsia" w:ascii="宋体" w:hAnsi="宋体" w:cs="宋体"/>
          <w:color w:val="auto"/>
          <w:sz w:val="24"/>
          <w:szCs w:val="32"/>
          <w:highlight w:val="none"/>
        </w:rPr>
        <w:t>七.确定成交人、成交通知与签约</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_Toc12204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- 21 -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"_Toc26087" </w:instrText>
      </w:r>
      <w:r>
        <w:rPr>
          <w:color w:val="auto"/>
          <w:highlight w:val="none"/>
        </w:rPr>
        <w:fldChar w:fldCharType="separate"/>
      </w:r>
      <w:r>
        <w:rPr>
          <w:rFonts w:hint="eastAsia" w:ascii="宋体" w:hAnsi="宋体" w:cs="宋体"/>
          <w:bCs/>
          <w:color w:val="auto"/>
          <w:sz w:val="24"/>
          <w:szCs w:val="40"/>
          <w:highlight w:val="none"/>
        </w:rPr>
        <w:t>八、其他事项</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_Toc26087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- 22 -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"_Toc29939" </w:instrText>
      </w:r>
      <w:r>
        <w:rPr>
          <w:color w:val="auto"/>
          <w:highlight w:val="none"/>
        </w:rPr>
        <w:fldChar w:fldCharType="separate"/>
      </w:r>
      <w:r>
        <w:rPr>
          <w:rFonts w:hint="eastAsia" w:ascii="宋体" w:hAnsi="宋体" w:cs="宋体"/>
          <w:color w:val="auto"/>
          <w:sz w:val="24"/>
          <w:szCs w:val="32"/>
          <w:highlight w:val="none"/>
        </w:rPr>
        <w:t>九．成交服务费</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_Toc29939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- 23 -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"_Toc840" </w:instrText>
      </w:r>
      <w:r>
        <w:rPr>
          <w:color w:val="auto"/>
          <w:highlight w:val="none"/>
        </w:rPr>
        <w:fldChar w:fldCharType="separate"/>
      </w:r>
      <w:r>
        <w:rPr>
          <w:rFonts w:hint="eastAsia" w:ascii="宋体" w:hAnsi="宋体" w:cs="宋体"/>
          <w:color w:val="auto"/>
          <w:sz w:val="24"/>
          <w:szCs w:val="32"/>
          <w:highlight w:val="none"/>
        </w:rPr>
        <w:t>十.质疑与投诉</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_Toc840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- 23 -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"_Toc29642" </w:instrText>
      </w:r>
      <w:r>
        <w:rPr>
          <w:color w:val="auto"/>
          <w:highlight w:val="none"/>
        </w:rPr>
        <w:fldChar w:fldCharType="separate"/>
      </w:r>
      <w:r>
        <w:rPr>
          <w:rFonts w:hint="eastAsia" w:ascii="宋体" w:hAnsi="宋体" w:cs="宋体"/>
          <w:color w:val="auto"/>
          <w:sz w:val="24"/>
          <w:szCs w:val="32"/>
          <w:highlight w:val="none"/>
        </w:rPr>
        <w:t>十一. 需要落实的政府采购政策</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_Toc29642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- 26 -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"_Toc9715" </w:instrText>
      </w:r>
      <w:r>
        <w:rPr>
          <w:color w:val="auto"/>
          <w:highlight w:val="none"/>
        </w:rPr>
        <w:fldChar w:fldCharType="separate"/>
      </w:r>
      <w:r>
        <w:rPr>
          <w:rFonts w:hint="eastAsia" w:ascii="宋体" w:hAnsi="宋体" w:cs="宋体"/>
          <w:color w:val="auto"/>
          <w:sz w:val="24"/>
          <w:szCs w:val="32"/>
          <w:highlight w:val="none"/>
        </w:rPr>
        <w:t>第三部分 磋商要求及说明</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_Toc9715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- 29 -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"_Toc16855" </w:instrText>
      </w:r>
      <w:r>
        <w:rPr>
          <w:color w:val="auto"/>
          <w:highlight w:val="none"/>
        </w:rPr>
        <w:fldChar w:fldCharType="separate"/>
      </w:r>
      <w:r>
        <w:rPr>
          <w:rFonts w:hint="eastAsia" w:ascii="宋体" w:hAnsi="宋体" w:cs="宋体"/>
          <w:color w:val="auto"/>
          <w:sz w:val="24"/>
          <w:szCs w:val="32"/>
          <w:highlight w:val="none"/>
        </w:rPr>
        <w:t>第四部分 商务及合同主要条款</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_Toc16855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- 31 -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"_Toc24257" </w:instrText>
      </w:r>
      <w:r>
        <w:rPr>
          <w:color w:val="auto"/>
          <w:highlight w:val="none"/>
        </w:rPr>
        <w:fldChar w:fldCharType="separate"/>
      </w:r>
      <w:r>
        <w:rPr>
          <w:rFonts w:hint="eastAsia" w:ascii="宋体" w:hAnsi="宋体" w:cs="宋体"/>
          <w:color w:val="auto"/>
          <w:sz w:val="24"/>
          <w:szCs w:val="32"/>
          <w:highlight w:val="none"/>
        </w:rPr>
        <w:t>第五部分  竞争性磋商响应文件格式</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_Toc24257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- 45 -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19"/>
        <w:tabs>
          <w:tab w:val="right" w:leader="dot" w:pos="8902"/>
        </w:tabs>
        <w:spacing w:line="360" w:lineRule="auto"/>
        <w:rPr>
          <w:rFonts w:ascii="宋体" w:hAnsi="宋体" w:cs="宋体"/>
          <w:color w:val="auto"/>
          <w:sz w:val="24"/>
          <w:szCs w:val="32"/>
          <w:highlight w:val="none"/>
        </w:rPr>
      </w:pPr>
      <w:r>
        <w:rPr>
          <w:color w:val="auto"/>
          <w:highlight w:val="none"/>
        </w:rPr>
        <w:fldChar w:fldCharType="begin"/>
      </w:r>
      <w:r>
        <w:rPr>
          <w:color w:val="auto"/>
          <w:highlight w:val="none"/>
        </w:rPr>
        <w:instrText xml:space="preserve"> HYPERLINK \l "_Toc24370" </w:instrText>
      </w:r>
      <w:r>
        <w:rPr>
          <w:color w:val="auto"/>
          <w:highlight w:val="none"/>
        </w:rPr>
        <w:fldChar w:fldCharType="separate"/>
      </w:r>
      <w:r>
        <w:rPr>
          <w:rFonts w:hint="eastAsia" w:ascii="宋体" w:hAnsi="宋体" w:cs="宋体"/>
          <w:color w:val="auto"/>
          <w:sz w:val="24"/>
          <w:szCs w:val="32"/>
          <w:highlight w:val="none"/>
        </w:rPr>
        <w:t>第六部分 评审办法</w:t>
      </w:r>
      <w:r>
        <w:rPr>
          <w:rFonts w:hint="eastAsia" w:ascii="宋体" w:hAnsi="宋体" w:cs="宋体"/>
          <w:color w:val="auto"/>
          <w:sz w:val="24"/>
          <w:szCs w:val="32"/>
          <w:highlight w:val="none"/>
        </w:rPr>
        <w:tab/>
      </w:r>
      <w:r>
        <w:rPr>
          <w:rFonts w:hint="eastAsia" w:ascii="宋体" w:hAnsi="宋体" w:cs="宋体"/>
          <w:color w:val="auto"/>
          <w:sz w:val="24"/>
          <w:szCs w:val="32"/>
          <w:highlight w:val="none"/>
        </w:rPr>
        <w:fldChar w:fldCharType="begin"/>
      </w:r>
      <w:r>
        <w:rPr>
          <w:rFonts w:hint="eastAsia" w:ascii="宋体" w:hAnsi="宋体" w:cs="宋体"/>
          <w:color w:val="auto"/>
          <w:sz w:val="24"/>
          <w:szCs w:val="32"/>
          <w:highlight w:val="none"/>
        </w:rPr>
        <w:instrText xml:space="preserve"> PAGEREF _Toc24370 </w:instrText>
      </w:r>
      <w:r>
        <w:rPr>
          <w:rFonts w:hint="eastAsia" w:ascii="宋体" w:hAnsi="宋体" w:cs="宋体"/>
          <w:color w:val="auto"/>
          <w:sz w:val="24"/>
          <w:szCs w:val="32"/>
          <w:highlight w:val="none"/>
        </w:rPr>
        <w:fldChar w:fldCharType="separate"/>
      </w:r>
      <w:r>
        <w:rPr>
          <w:rFonts w:hint="eastAsia" w:ascii="宋体" w:hAnsi="宋体" w:cs="宋体"/>
          <w:color w:val="auto"/>
          <w:sz w:val="24"/>
          <w:szCs w:val="32"/>
          <w:highlight w:val="none"/>
        </w:rPr>
        <w:t>- 64 -</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fldChar w:fldCharType="end"/>
      </w:r>
    </w:p>
    <w:p>
      <w:pPr>
        <w:pStyle w:val="20"/>
        <w:tabs>
          <w:tab w:val="right" w:leader="hyphen" w:pos="9016"/>
        </w:tabs>
        <w:spacing w:line="360" w:lineRule="auto"/>
        <w:ind w:left="0" w:leftChars="0"/>
        <w:jc w:val="center"/>
        <w:rPr>
          <w:rFonts w:ascii="宋体" w:hAnsi="宋体" w:cs="宋体"/>
          <w:color w:val="auto"/>
          <w:sz w:val="48"/>
          <w:szCs w:val="48"/>
          <w:highlight w:val="none"/>
        </w:rPr>
        <w:sectPr>
          <w:headerReference r:id="rId7"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宋体" w:hAnsi="宋体" w:cs="宋体"/>
          <w:color w:val="auto"/>
          <w:sz w:val="24"/>
          <w:szCs w:val="56"/>
          <w:highlight w:val="none"/>
        </w:rPr>
        <w:fldChar w:fldCharType="end"/>
      </w:r>
      <w:bookmarkStart w:id="126" w:name="_GoBack"/>
      <w:bookmarkEnd w:id="126"/>
    </w:p>
    <w:p>
      <w:pPr>
        <w:pStyle w:val="20"/>
        <w:tabs>
          <w:tab w:val="right" w:leader="hyphen" w:pos="9016"/>
        </w:tabs>
        <w:spacing w:line="360" w:lineRule="auto"/>
        <w:ind w:left="0" w:leftChars="0"/>
        <w:jc w:val="center"/>
        <w:outlineLvl w:val="0"/>
        <w:rPr>
          <w:rFonts w:ascii="宋体" w:hAnsi="宋体" w:cs="宋体"/>
          <w:color w:val="auto"/>
          <w:kern w:val="0"/>
          <w:sz w:val="22"/>
          <w:szCs w:val="22"/>
          <w:highlight w:val="none"/>
        </w:rPr>
      </w:pPr>
      <w:bookmarkStart w:id="4" w:name="_Toc22413"/>
      <w:bookmarkStart w:id="5" w:name="_Toc3979"/>
      <w:r>
        <w:rPr>
          <w:rFonts w:hint="eastAsia"/>
          <w:b/>
          <w:bCs/>
          <w:color w:val="auto"/>
          <w:sz w:val="32"/>
          <w:szCs w:val="32"/>
          <w:highlight w:val="none"/>
        </w:rPr>
        <w:t>第一部分  竞争性磋商公告</w:t>
      </w:r>
      <w:bookmarkEnd w:id="0"/>
      <w:bookmarkEnd w:id="1"/>
      <w:bookmarkEnd w:id="2"/>
      <w:bookmarkEnd w:id="3"/>
      <w:bookmarkEnd w:id="4"/>
      <w:bookmarkEnd w:id="5"/>
      <w:bookmarkStart w:id="6" w:name="_Toc26933"/>
      <w:bookmarkStart w:id="7" w:name="_Toc495908399"/>
      <w:bookmarkStart w:id="8" w:name="_Toc519156736"/>
      <w:bookmarkStart w:id="9" w:name="_Toc28842"/>
    </w:p>
    <w:p>
      <w:pPr>
        <w:pStyle w:val="21"/>
        <w:shd w:val="clear" w:color="auto" w:fill="FFFFFF"/>
        <w:spacing w:beforeAutospacing="0" w:afterAutospacing="0" w:line="360" w:lineRule="auto"/>
        <w:ind w:firstLine="420"/>
        <w:rPr>
          <w:color w:val="auto"/>
          <w:highlight w:val="none"/>
        </w:rPr>
      </w:pPr>
      <w:bookmarkStart w:id="10" w:name="_Toc8474"/>
      <w:bookmarkStart w:id="11" w:name="_Toc2990"/>
      <w:r>
        <w:rPr>
          <w:rFonts w:hint="eastAsia"/>
          <w:color w:val="auto"/>
          <w:highlight w:val="none"/>
          <w:shd w:val="clear" w:color="auto" w:fill="FFFFFF"/>
        </w:rPr>
        <w:t>陕西德仁招标有限公司受陕西省退役军人事务厅的委托，按照政府采购程序，对</w:t>
      </w:r>
      <w:r>
        <w:rPr>
          <w:rFonts w:hint="eastAsia"/>
          <w:color w:val="auto"/>
          <w:highlight w:val="none"/>
          <w:shd w:val="clear" w:color="auto" w:fill="FFFFFF"/>
          <w:lang w:eastAsia="zh-CN"/>
        </w:rPr>
        <w:t>陕西省退役军人事务厅优抚对象2020年春节慰问年画采购项目</w:t>
      </w:r>
      <w:r>
        <w:rPr>
          <w:rFonts w:hint="eastAsia"/>
          <w:color w:val="auto"/>
          <w:highlight w:val="none"/>
          <w:shd w:val="clear" w:color="auto" w:fill="FFFFFF"/>
        </w:rPr>
        <w:t>进行竞争性磋商采购，欢迎符合资格条件的、有能力提供本项目所需货物和服务的供应商参加投标。</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一、采购项目名称：陕西省退役军人事务厅</w:t>
      </w:r>
      <w:r>
        <w:rPr>
          <w:rFonts w:hint="eastAsia"/>
          <w:b/>
          <w:color w:val="auto"/>
          <w:highlight w:val="none"/>
          <w:shd w:val="clear" w:color="auto" w:fill="FFFFFF"/>
          <w:lang w:val="en-US" w:eastAsia="zh-CN"/>
        </w:rPr>
        <w:t>优抚对象</w:t>
      </w:r>
      <w:r>
        <w:rPr>
          <w:rFonts w:hint="eastAsia"/>
          <w:b/>
          <w:color w:val="auto"/>
          <w:highlight w:val="none"/>
          <w:shd w:val="clear" w:color="auto" w:fill="FFFFFF"/>
        </w:rPr>
        <w:t>2020年春节慰问年画采购项目</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二、采购项目编号：DRZB2019-ZC-204</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三、采购人名称： 陕西省退役军人事务厅</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地址：西安市新城区新城大院</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联系人：平锐军</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电话：029-63917408</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四、采购代理机构名称：陕西德仁招标有限公司</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地址：西安市高新区沣惠南路20号华晶商务广场B座2301室</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联系人：赵璐</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电话：029-85565073</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传真：/</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 xml:space="preserve">五、采购内容和需求： </w:t>
      </w:r>
      <w:r>
        <w:rPr>
          <w:rFonts w:hint="eastAsia"/>
          <w:b/>
          <w:color w:val="auto"/>
          <w:highlight w:val="none"/>
          <w:shd w:val="clear" w:color="auto" w:fill="FFFFFF"/>
          <w:lang w:eastAsia="zh-CN"/>
        </w:rPr>
        <w:t>陕西省退役军人事务厅优抚对象2020年春节慰问年画采购项目</w:t>
      </w:r>
      <w:r>
        <w:rPr>
          <w:rFonts w:hint="eastAsia"/>
          <w:b/>
          <w:color w:val="auto"/>
          <w:highlight w:val="none"/>
          <w:shd w:val="clear" w:color="auto" w:fill="FFFFFF"/>
        </w:rPr>
        <w:t>1套</w:t>
      </w:r>
    </w:p>
    <w:p>
      <w:pPr>
        <w:pStyle w:val="21"/>
        <w:shd w:val="clear" w:color="auto" w:fill="FFFFFF"/>
        <w:spacing w:beforeAutospacing="0" w:afterAutospacing="0" w:line="360" w:lineRule="auto"/>
        <w:ind w:firstLine="420"/>
        <w:rPr>
          <w:color w:val="auto"/>
          <w:highlight w:val="none"/>
          <w:shd w:val="clear" w:color="auto" w:fill="FFFFFF"/>
        </w:rPr>
      </w:pPr>
      <w:r>
        <w:rPr>
          <w:rFonts w:hint="eastAsia"/>
          <w:color w:val="auto"/>
          <w:highlight w:val="none"/>
          <w:shd w:val="clear" w:color="auto" w:fill="FFFFFF"/>
        </w:rPr>
        <w:t>项目概况： 2020年春节慰问年画采购</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项目用途： 慰问年画，详见磋商文件第三部分</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采购预算： 19</w:t>
      </w:r>
      <w:r>
        <w:rPr>
          <w:color w:val="auto"/>
          <w:highlight w:val="none"/>
          <w:shd w:val="clear" w:color="auto" w:fill="FFFFFF"/>
        </w:rPr>
        <w:t>0</w:t>
      </w:r>
      <w:r>
        <w:rPr>
          <w:rFonts w:hint="eastAsia"/>
          <w:color w:val="auto"/>
          <w:highlight w:val="none"/>
          <w:shd w:val="clear" w:color="auto" w:fill="FFFFFF"/>
        </w:rPr>
        <w:t>0000.00元</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六、投标供应商资格要求：</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（1）基本资格条件：符合《中华人民共和国政府采购法》第二十二条的规定；</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（2）特定资格条件：1、具有独立承担民事责任能力的法人、其他组织或自然人，提供合法有效的统一社会信用代码营业执照（事业单位提供事业单位法人证书，自然人提供身份证明）； 2、法定代表人直接参加磋商的，须出具法人身份证；法定代表人授权代表参加磋商的，须出具法定代表人授权书及授权代表身份证； 3、磋商保证金缴纳凭证或担保机构出具的保函； 4、财务状况报告：提供具有财务审计资质单位出具的上一年度财务报告或开标前六个月内其基本账户银行出具的资信证明； 5、社会保障资金缴纳证明：提供磋商前六个月内已缴存的任意时段的社会保障资金缴存单据或社保机构开具的社会保险参保缴费情况证明；依法不需要缴纳社会保障资金的应提供相关文件证明； 6、税收缴纳证明：提供磋商前六个月内已缴纳任意时段完税凭证或税务机关开具的完税证明（任意税种）；依法免税的应提供相关文件证明；7、供应商提供有效期内的《印刷经营许可证》 ；8、参加本次政府采购活动前三年内在经营活动中没有重大违法记录的书面声明；9、供应商不得为“信用中国”网站（www.creditchina.gov.cn）及“中国政府采购网”（www.ccgp.gov.cn/）列入失信被执行人、重大税收违法案件当事人名单、政府采购严重失信行为记录名单（提供信用中国网站下载的信用信息及政府采购严重失信行为记录名单截图）；10、本项目不接受联合体。</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七、采购项目需要落实的政府采购政策</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1、《节能产品政府采购实施意见》（财库[2004]185号）； 2、《环境标志产品政府采购实施的意见》（财库[2006]90号） 3、《国务院办公厅关于建立政府强制采购节能产品制度的通知》（国办发〔2007〕51号）； 4、《政府采购促进中小企业发展暂行办法》（财库〔2011〕181号）； 5、《财政部 司法部关于政府采购支持监狱企业发展有关问题的通知》（财库〔2014〕68号）； 6、《三部门联合发布关于促进残疾人就业政府采购政策的通知》（财库〔2017〕141号）</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八、磋商文件 发售时间、地点</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1、发售时间：2019-12-</w:t>
      </w:r>
      <w:r>
        <w:rPr>
          <w:rFonts w:hint="eastAsia"/>
          <w:color w:val="auto"/>
          <w:highlight w:val="none"/>
          <w:shd w:val="clear" w:color="auto" w:fill="FFFFFF"/>
          <w:lang w:val="en-US" w:eastAsia="zh-CN"/>
        </w:rPr>
        <w:t>20</w:t>
      </w:r>
      <w:r>
        <w:rPr>
          <w:rFonts w:hint="eastAsia"/>
          <w:color w:val="auto"/>
          <w:highlight w:val="none"/>
          <w:shd w:val="clear" w:color="auto" w:fill="FFFFFF"/>
        </w:rPr>
        <w:t xml:space="preserve">  09:00:00至2019-12-</w:t>
      </w:r>
      <w:r>
        <w:rPr>
          <w:rFonts w:hint="eastAsia"/>
          <w:color w:val="auto"/>
          <w:highlight w:val="none"/>
          <w:shd w:val="clear" w:color="auto" w:fill="FFFFFF"/>
          <w:lang w:val="en-US" w:eastAsia="zh-CN"/>
        </w:rPr>
        <w:t>26</w:t>
      </w:r>
      <w:r>
        <w:rPr>
          <w:rFonts w:hint="eastAsia"/>
          <w:color w:val="auto"/>
          <w:highlight w:val="none"/>
          <w:shd w:val="clear" w:color="auto" w:fill="FFFFFF"/>
        </w:rPr>
        <w:t xml:space="preserve">  17:00:00（双休日及法定节假日除外）</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2、发售地点：西安市高新区沣惠南路20号华晶商务广场B座2301室</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3、文件售价：</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每套500.00元（人民币），售后不退</w:t>
      </w:r>
    </w:p>
    <w:p>
      <w:pPr>
        <w:pStyle w:val="21"/>
        <w:shd w:val="clear" w:color="auto" w:fill="FFFFFF"/>
        <w:spacing w:beforeAutospacing="0" w:afterAutospacing="0" w:line="360" w:lineRule="auto"/>
        <w:ind w:firstLine="420"/>
        <w:rPr>
          <w:color w:val="auto"/>
          <w:highlight w:val="none"/>
        </w:rPr>
      </w:pPr>
      <w:r>
        <w:rPr>
          <w:rStyle w:val="27"/>
          <w:rFonts w:hint="eastAsia"/>
          <w:color w:val="auto"/>
          <w:highlight w:val="none"/>
          <w:shd w:val="clear" w:color="auto" w:fill="FFFFFF"/>
        </w:rPr>
        <w:t>注：1、购买磋商文件时需携带经办人单位介绍信及被授权人身份证原件及复印件加盖公章，报名只接收现金；2、请供应商按照陕西省财政厅关于政府采购供应商注册登记有关事项的通知中的要求，通过陕西省政府采购网注册登记入库。</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九、磋商文件 递交截止时间及开标时间和地点</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1、文件递交截止时间：2019-12-</w:t>
      </w:r>
      <w:r>
        <w:rPr>
          <w:rFonts w:hint="eastAsia"/>
          <w:color w:val="auto"/>
          <w:highlight w:val="none"/>
          <w:shd w:val="clear" w:color="auto" w:fill="FFFFFF"/>
          <w:lang w:val="en-US" w:eastAsia="zh-CN"/>
        </w:rPr>
        <w:t>31</w:t>
      </w:r>
      <w:r>
        <w:rPr>
          <w:rFonts w:hint="eastAsia"/>
          <w:color w:val="auto"/>
          <w:highlight w:val="none"/>
          <w:shd w:val="clear" w:color="auto" w:fill="FFFFFF"/>
        </w:rPr>
        <w:t xml:space="preserve">  </w:t>
      </w:r>
      <w:r>
        <w:rPr>
          <w:rFonts w:hint="eastAsia"/>
          <w:color w:val="auto"/>
          <w:highlight w:val="none"/>
          <w:shd w:val="clear" w:color="auto" w:fill="FFFFFF"/>
          <w:lang w:val="en-US" w:eastAsia="zh-CN"/>
        </w:rPr>
        <w:t>09</w:t>
      </w:r>
      <w:r>
        <w:rPr>
          <w:rFonts w:hint="eastAsia"/>
          <w:color w:val="auto"/>
          <w:highlight w:val="none"/>
          <w:shd w:val="clear" w:color="auto" w:fill="FFFFFF"/>
        </w:rPr>
        <w:t>:30:00</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2、投标地点：西安市高新区沣惠南路20号华晶商务广场B座2301室会议室</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3、开标时间：2019-12-</w:t>
      </w:r>
      <w:r>
        <w:rPr>
          <w:rFonts w:hint="eastAsia"/>
          <w:color w:val="auto"/>
          <w:highlight w:val="none"/>
          <w:shd w:val="clear" w:color="auto" w:fill="FFFFFF"/>
          <w:lang w:val="en-US" w:eastAsia="zh-CN"/>
        </w:rPr>
        <w:t>31</w:t>
      </w:r>
      <w:r>
        <w:rPr>
          <w:rFonts w:hint="eastAsia"/>
          <w:color w:val="auto"/>
          <w:highlight w:val="none"/>
          <w:shd w:val="clear" w:color="auto" w:fill="FFFFFF"/>
        </w:rPr>
        <w:t xml:space="preserve">  </w:t>
      </w:r>
      <w:r>
        <w:rPr>
          <w:rFonts w:hint="eastAsia"/>
          <w:color w:val="auto"/>
          <w:highlight w:val="none"/>
          <w:shd w:val="clear" w:color="auto" w:fill="FFFFFF"/>
          <w:lang w:val="en-US" w:eastAsia="zh-CN"/>
        </w:rPr>
        <w:t>09</w:t>
      </w:r>
      <w:r>
        <w:rPr>
          <w:rFonts w:hint="eastAsia"/>
          <w:color w:val="auto"/>
          <w:highlight w:val="none"/>
          <w:shd w:val="clear" w:color="auto" w:fill="FFFFFF"/>
        </w:rPr>
        <w:t>:30:00</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4、开标地点：西安市高新区沣惠南路20号华晶商务广场B座2301室会议室</w:t>
      </w:r>
    </w:p>
    <w:p>
      <w:pPr>
        <w:pStyle w:val="21"/>
        <w:shd w:val="clear" w:color="auto" w:fill="FFFFFF"/>
        <w:spacing w:before="150" w:beforeAutospacing="0" w:afterAutospacing="0" w:line="360" w:lineRule="auto"/>
        <w:rPr>
          <w:b/>
          <w:color w:val="auto"/>
          <w:highlight w:val="none"/>
        </w:rPr>
      </w:pPr>
      <w:r>
        <w:rPr>
          <w:rFonts w:hint="eastAsia"/>
          <w:b/>
          <w:color w:val="auto"/>
          <w:highlight w:val="none"/>
          <w:shd w:val="clear" w:color="auto" w:fill="FFFFFF"/>
        </w:rPr>
        <w:t>十、其他应说明的事项</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1、采购代理机构联系方式：029-85565073</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2、开户名称：陕西德仁招标有限公司</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3、开户银行：中国建设银行股份有限公司西安含光南路支行</w:t>
      </w:r>
    </w:p>
    <w:p>
      <w:pPr>
        <w:pStyle w:val="21"/>
        <w:shd w:val="clear" w:color="auto" w:fill="FFFFFF"/>
        <w:spacing w:beforeAutospacing="0" w:afterAutospacing="0" w:line="360" w:lineRule="auto"/>
        <w:ind w:firstLine="420"/>
        <w:rPr>
          <w:color w:val="auto"/>
          <w:highlight w:val="none"/>
        </w:rPr>
      </w:pPr>
      <w:r>
        <w:rPr>
          <w:rFonts w:hint="eastAsia"/>
          <w:color w:val="auto"/>
          <w:highlight w:val="none"/>
          <w:shd w:val="clear" w:color="auto" w:fill="FFFFFF"/>
        </w:rPr>
        <w:t>4、账 号：61050172650000000081</w:t>
      </w:r>
    </w:p>
    <w:p>
      <w:pPr>
        <w:pStyle w:val="21"/>
        <w:shd w:val="clear" w:color="auto" w:fill="FFFFFF"/>
        <w:spacing w:before="150" w:beforeAutospacing="0" w:afterAutospacing="0" w:line="360" w:lineRule="auto"/>
        <w:rPr>
          <w:b/>
          <w:color w:val="auto"/>
          <w:highlight w:val="none"/>
          <w:shd w:val="clear" w:color="auto" w:fill="FFFFFF"/>
        </w:rPr>
      </w:pPr>
      <w:r>
        <w:rPr>
          <w:rFonts w:hint="eastAsia"/>
          <w:b/>
          <w:color w:val="auto"/>
          <w:highlight w:val="none"/>
          <w:shd w:val="clear" w:color="auto" w:fill="FFFFFF"/>
        </w:rPr>
        <w:t>十一、本竞争性磋商公告期限为自发布之日起3个工作日。</w:t>
      </w:r>
    </w:p>
    <w:p>
      <w:pPr>
        <w:rPr>
          <w:rFonts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br w:type="page"/>
      </w:r>
    </w:p>
    <w:p>
      <w:pPr>
        <w:pStyle w:val="3"/>
        <w:keepNext w:val="0"/>
        <w:keepLines w:val="0"/>
        <w:rPr>
          <w:rFonts w:ascii="宋体" w:hAnsi="宋体" w:cs="宋体"/>
          <w:color w:val="auto"/>
          <w:sz w:val="32"/>
          <w:szCs w:val="32"/>
          <w:highlight w:val="none"/>
        </w:rPr>
      </w:pPr>
      <w:bookmarkStart w:id="12" w:name="_Toc19027"/>
      <w:r>
        <w:rPr>
          <w:rFonts w:hint="eastAsia" w:ascii="宋体" w:hAnsi="宋体" w:cs="宋体"/>
          <w:color w:val="auto"/>
          <w:sz w:val="32"/>
          <w:szCs w:val="32"/>
          <w:highlight w:val="none"/>
        </w:rPr>
        <w:t>第二部分  磋商供应商须知</w:t>
      </w:r>
      <w:bookmarkEnd w:id="6"/>
      <w:bookmarkEnd w:id="7"/>
      <w:bookmarkEnd w:id="8"/>
      <w:bookmarkEnd w:id="9"/>
      <w:bookmarkEnd w:id="10"/>
      <w:bookmarkEnd w:id="11"/>
      <w:bookmarkEnd w:id="12"/>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须知前附表</w:t>
      </w:r>
    </w:p>
    <w:tbl>
      <w:tblPr>
        <w:tblStyle w:val="24"/>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89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71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采购人</w:t>
            </w:r>
          </w:p>
        </w:tc>
        <w:tc>
          <w:tcPr>
            <w:tcW w:w="7176" w:type="dxa"/>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名  称：陕西省退役军人事务厅</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  址：</w:t>
            </w:r>
            <w:r>
              <w:rPr>
                <w:rFonts w:hint="eastAsia" w:ascii="宋体" w:hAnsi="宋体" w:cs="宋体"/>
                <w:color w:val="auto"/>
                <w:sz w:val="24"/>
                <w:highlight w:val="none"/>
                <w:shd w:val="clear" w:color="auto" w:fill="FFFFFF"/>
              </w:rPr>
              <w:t>西安市新城区新城大院</w:t>
            </w:r>
          </w:p>
          <w:p>
            <w:pPr>
              <w:spacing w:line="396" w:lineRule="exact"/>
              <w:rPr>
                <w:rFonts w:ascii="宋体" w:hAnsi="宋体" w:cs="宋体"/>
                <w:color w:val="auto"/>
                <w:sz w:val="24"/>
                <w:highlight w:val="none"/>
              </w:rPr>
            </w:pPr>
            <w:r>
              <w:rPr>
                <w:rFonts w:hint="eastAsia" w:ascii="宋体" w:hAnsi="宋体" w:cs="宋体"/>
                <w:color w:val="auto"/>
                <w:sz w:val="24"/>
                <w:highlight w:val="none"/>
              </w:rPr>
              <w:t>联系人：平锐军</w:t>
            </w:r>
          </w:p>
          <w:p>
            <w:pPr>
              <w:spacing w:line="396"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电话：</w:t>
            </w:r>
            <w:r>
              <w:rPr>
                <w:rFonts w:hint="eastAsia" w:ascii="宋体" w:hAnsi="宋体" w:cs="宋体"/>
                <w:color w:val="auto"/>
                <w:sz w:val="24"/>
                <w:highlight w:val="none"/>
                <w:lang w:eastAsia="zh-CN"/>
              </w:rPr>
              <w:t>029-63917408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采购代理机构</w:t>
            </w:r>
          </w:p>
        </w:tc>
        <w:tc>
          <w:tcPr>
            <w:tcW w:w="7176" w:type="dxa"/>
            <w:vAlign w:val="center"/>
          </w:tcPr>
          <w:p>
            <w:pPr>
              <w:spacing w:line="396" w:lineRule="exact"/>
              <w:rPr>
                <w:rFonts w:ascii="宋体" w:hAnsi="宋体" w:cs="宋体"/>
                <w:color w:val="auto"/>
                <w:sz w:val="24"/>
                <w:highlight w:val="none"/>
              </w:rPr>
            </w:pPr>
            <w:r>
              <w:rPr>
                <w:rFonts w:hint="eastAsia" w:ascii="宋体" w:hAnsi="宋体" w:cs="宋体"/>
                <w:color w:val="auto"/>
                <w:sz w:val="24"/>
                <w:highlight w:val="none"/>
              </w:rPr>
              <w:t>名称：陕西德仁招标有限公司</w:t>
            </w:r>
          </w:p>
          <w:p>
            <w:pPr>
              <w:spacing w:line="396" w:lineRule="exact"/>
              <w:rPr>
                <w:rFonts w:ascii="宋体" w:hAnsi="宋体" w:cs="宋体"/>
                <w:color w:val="auto"/>
                <w:sz w:val="24"/>
                <w:highlight w:val="none"/>
              </w:rPr>
            </w:pPr>
            <w:r>
              <w:rPr>
                <w:rFonts w:hint="eastAsia" w:ascii="宋体" w:hAnsi="宋体" w:cs="宋体"/>
                <w:color w:val="auto"/>
                <w:sz w:val="24"/>
                <w:highlight w:val="none"/>
              </w:rPr>
              <w:t>地址：西安市高新区沣惠南路20号华晶商务广场B座1幢2301室</w:t>
            </w:r>
          </w:p>
          <w:p>
            <w:pPr>
              <w:spacing w:line="396" w:lineRule="exact"/>
              <w:rPr>
                <w:rFonts w:ascii="宋体" w:hAnsi="宋体" w:cs="宋体"/>
                <w:color w:val="auto"/>
                <w:sz w:val="24"/>
                <w:highlight w:val="none"/>
              </w:rPr>
            </w:pPr>
            <w:r>
              <w:rPr>
                <w:rFonts w:hint="eastAsia" w:ascii="宋体" w:hAnsi="宋体" w:cs="宋体"/>
                <w:color w:val="auto"/>
                <w:sz w:val="24"/>
                <w:highlight w:val="none"/>
              </w:rPr>
              <w:t>联系人：赵璐</w:t>
            </w:r>
          </w:p>
          <w:p>
            <w:pPr>
              <w:spacing w:line="396" w:lineRule="exact"/>
              <w:rPr>
                <w:rFonts w:ascii="宋体" w:hAnsi="宋体" w:cs="宋体"/>
                <w:color w:val="auto"/>
                <w:sz w:val="24"/>
                <w:highlight w:val="none"/>
              </w:rPr>
            </w:pPr>
            <w:r>
              <w:rPr>
                <w:rFonts w:hint="eastAsia" w:ascii="宋体" w:hAnsi="宋体" w:cs="宋体"/>
                <w:color w:val="auto"/>
                <w:sz w:val="24"/>
                <w:highlight w:val="none"/>
              </w:rPr>
              <w:t>电  话：029-85565073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7176" w:type="dxa"/>
            <w:vAlign w:val="center"/>
          </w:tcPr>
          <w:p>
            <w:pPr>
              <w:spacing w:line="396"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陕西省退役军人事务厅优抚对象2020年春节慰问年画采购项目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资金来源</w:t>
            </w:r>
          </w:p>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落实情况</w:t>
            </w:r>
          </w:p>
        </w:tc>
        <w:tc>
          <w:tcPr>
            <w:tcW w:w="7176" w:type="dxa"/>
            <w:vAlign w:val="center"/>
          </w:tcPr>
          <w:p>
            <w:pPr>
              <w:spacing w:line="396" w:lineRule="exact"/>
              <w:rPr>
                <w:rFonts w:ascii="宋体" w:hAnsi="宋体" w:cs="宋体"/>
                <w:color w:val="auto"/>
                <w:sz w:val="24"/>
                <w:highlight w:val="none"/>
              </w:rPr>
            </w:pPr>
            <w:r>
              <w:rPr>
                <w:rFonts w:hint="eastAsia" w:ascii="宋体" w:hAnsi="宋体" w:cs="宋体"/>
                <w:color w:val="auto"/>
                <w:sz w:val="24"/>
                <w:highlight w:val="none"/>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采购内容</w:t>
            </w:r>
          </w:p>
        </w:tc>
        <w:tc>
          <w:tcPr>
            <w:tcW w:w="7176" w:type="dxa"/>
            <w:vAlign w:val="center"/>
          </w:tcPr>
          <w:p>
            <w:pPr>
              <w:spacing w:line="396" w:lineRule="exact"/>
              <w:rPr>
                <w:rFonts w:ascii="宋体" w:hAnsi="宋体" w:cs="宋体"/>
                <w:color w:val="auto"/>
                <w:sz w:val="24"/>
                <w:highlight w:val="none"/>
              </w:rPr>
            </w:pPr>
            <w:r>
              <w:rPr>
                <w:rFonts w:hint="eastAsia" w:ascii="宋体" w:hAnsi="宋体" w:cs="宋体"/>
                <w:color w:val="auto"/>
                <w:sz w:val="24"/>
                <w:highlight w:val="none"/>
              </w:rPr>
              <w:t>详见竞争性磋商文件第三部分磋商要求及说明。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7176"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自合同签订之日起</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日历天内完成交付。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7176" w:type="dxa"/>
            <w:vAlign w:val="center"/>
          </w:tcPr>
          <w:p>
            <w:pPr>
              <w:spacing w:line="396" w:lineRule="exact"/>
              <w:jc w:val="left"/>
              <w:rPr>
                <w:rFonts w:ascii="宋体" w:hAnsi="宋体" w:cs="宋体"/>
                <w:color w:val="auto"/>
                <w:sz w:val="24"/>
                <w:highlight w:val="none"/>
              </w:rPr>
            </w:pPr>
            <w:r>
              <w:rPr>
                <w:rFonts w:hint="eastAsia" w:ascii="宋体" w:hAnsi="宋体" w:cs="宋体"/>
                <w:color w:val="auto"/>
                <w:sz w:val="24"/>
                <w:highlight w:val="none"/>
              </w:rPr>
              <w:t>自项目整体验收合格之日起30个工作日。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分包</w:t>
            </w:r>
          </w:p>
        </w:tc>
        <w:tc>
          <w:tcPr>
            <w:tcW w:w="7176" w:type="dxa"/>
            <w:vAlign w:val="center"/>
          </w:tcPr>
          <w:p>
            <w:pPr>
              <w:spacing w:line="396" w:lineRule="exact"/>
              <w:jc w:val="lef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样品</w:t>
            </w:r>
          </w:p>
        </w:tc>
        <w:tc>
          <w:tcPr>
            <w:tcW w:w="71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要求递交，详见磋商文件第三部分，磋商要求。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进口产品</w:t>
            </w:r>
          </w:p>
        </w:tc>
        <w:tc>
          <w:tcPr>
            <w:tcW w:w="7176" w:type="dxa"/>
            <w:vAlign w:val="center"/>
          </w:tcPr>
          <w:p>
            <w:pPr>
              <w:spacing w:line="396" w:lineRule="exact"/>
              <w:jc w:val="lef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政府采购强制采购：节能产品</w:t>
            </w:r>
          </w:p>
        </w:tc>
        <w:tc>
          <w:tcPr>
            <w:tcW w:w="7176" w:type="dxa"/>
            <w:vAlign w:val="center"/>
          </w:tcPr>
          <w:p>
            <w:pPr>
              <w:spacing w:line="396" w:lineRule="exact"/>
              <w:jc w:val="left"/>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896"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政府采购强制采购：信息安全认证</w:t>
            </w:r>
          </w:p>
        </w:tc>
        <w:tc>
          <w:tcPr>
            <w:tcW w:w="7176" w:type="dxa"/>
            <w:vAlign w:val="center"/>
          </w:tcPr>
          <w:p>
            <w:pPr>
              <w:spacing w:line="396" w:lineRule="exact"/>
              <w:jc w:val="left"/>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line="396"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89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采购资金的支付方式和时间</w:t>
            </w:r>
          </w:p>
        </w:tc>
        <w:tc>
          <w:tcPr>
            <w:tcW w:w="717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1)结算单位：采购人,在付款前必须开具发票给采购人。</w:t>
            </w:r>
          </w:p>
          <w:p>
            <w:pPr>
              <w:spacing w:line="360" w:lineRule="auto"/>
              <w:rPr>
                <w:rFonts w:ascii="宋体" w:hAnsi="宋体" w:cs="宋体"/>
                <w:color w:val="auto"/>
                <w:sz w:val="24"/>
                <w:highlight w:val="none"/>
              </w:rPr>
            </w:pPr>
            <w:r>
              <w:rPr>
                <w:rFonts w:hint="eastAsia" w:ascii="宋体" w:hAnsi="宋体" w:cs="宋体"/>
                <w:color w:val="auto"/>
                <w:sz w:val="24"/>
                <w:highlight w:val="none"/>
              </w:rPr>
              <w:t>2)付款方式: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1、合同签订后7个工作日内，交付合同总价款的30%作为预付款。</w:t>
            </w:r>
          </w:p>
          <w:p>
            <w:pPr>
              <w:spacing w:line="360" w:lineRule="auto"/>
              <w:rPr>
                <w:rFonts w:ascii="宋体" w:hAnsi="宋体" w:cs="宋体"/>
                <w:color w:val="auto"/>
                <w:sz w:val="24"/>
                <w:highlight w:val="none"/>
              </w:rPr>
            </w:pPr>
            <w:r>
              <w:rPr>
                <w:rFonts w:hint="eastAsia" w:ascii="宋体" w:hAnsi="宋体" w:cs="宋体"/>
                <w:color w:val="auto"/>
                <w:sz w:val="24"/>
                <w:highlight w:val="none"/>
              </w:rPr>
              <w:t>2、所有产品交付并验收合格后。7个工作日内，支付合同总价款的70</w:t>
            </w:r>
            <w:r>
              <w:rPr>
                <w:rFonts w:ascii="宋体" w:hAnsi="宋体" w:cs="宋体"/>
                <w:color w:val="auto"/>
                <w:sz w:val="24"/>
                <w:highlight w:val="none"/>
              </w:rPr>
              <w:t>%</w:t>
            </w:r>
            <w:r>
              <w:rPr>
                <w:rFonts w:hint="eastAsia" w:ascii="宋体" w:hAnsi="宋体" w:cs="宋体"/>
                <w:color w:val="auto"/>
                <w:sz w:val="24"/>
                <w:highlight w:val="none"/>
              </w:rPr>
              <w:t>。</w:t>
            </w:r>
          </w:p>
          <w:p>
            <w:pPr>
              <w:keepNext/>
              <w:keepLines/>
              <w:rPr>
                <w:rFonts w:ascii="宋体" w:hAnsi="宋体" w:cs="宋体"/>
                <w:color w:val="auto"/>
                <w:sz w:val="24"/>
                <w:highlight w:val="none"/>
              </w:rPr>
            </w:pPr>
            <w:r>
              <w:rPr>
                <w:rFonts w:hint="eastAsia" w:ascii="宋体" w:hAnsi="宋体" w:cs="宋体"/>
                <w:color w:val="auto"/>
                <w:sz w:val="24"/>
                <w:highlight w:val="none"/>
              </w:rPr>
              <w:t>3、因临近年终，若时间上与陕西省退役军人事务厅或省财政厅封账期冲突，付款顺延至年后。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磋商供应商资质</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条件</w:t>
            </w:r>
          </w:p>
        </w:tc>
        <w:tc>
          <w:tcPr>
            <w:tcW w:w="7176" w:type="dxa"/>
            <w:vAlign w:val="center"/>
          </w:tcPr>
          <w:p>
            <w:pPr>
              <w:pStyle w:val="21"/>
              <w:shd w:val="clear" w:color="auto" w:fill="FFFFFF"/>
              <w:spacing w:beforeAutospacing="0" w:afterAutospacing="0" w:line="360" w:lineRule="auto"/>
              <w:rPr>
                <w:color w:val="auto"/>
                <w:highlight w:val="none"/>
              </w:rPr>
            </w:pPr>
            <w:r>
              <w:rPr>
                <w:rFonts w:hint="eastAsia"/>
                <w:color w:val="auto"/>
                <w:highlight w:val="none"/>
                <w:shd w:val="clear" w:color="auto" w:fill="FFFFFF"/>
              </w:rPr>
              <w:t>（1）基本资格条件：符合《中华人民共和国政府采购法》第二十二条的规定；</w:t>
            </w:r>
          </w:p>
          <w:p>
            <w:pPr>
              <w:pStyle w:val="21"/>
              <w:shd w:val="clear" w:color="auto" w:fill="FFFFFF"/>
              <w:spacing w:beforeAutospacing="0" w:afterAutospacing="0" w:line="360" w:lineRule="auto"/>
              <w:rPr>
                <w:color w:val="auto"/>
                <w:highlight w:val="none"/>
                <w:shd w:val="clear" w:color="auto" w:fill="FFFFFF"/>
              </w:rPr>
            </w:pPr>
            <w:r>
              <w:rPr>
                <w:rFonts w:hint="eastAsia"/>
                <w:color w:val="auto"/>
                <w:highlight w:val="none"/>
                <w:shd w:val="clear" w:color="auto" w:fill="FFFFFF"/>
              </w:rPr>
              <w:t>（2）特定资格条件：</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1、具有独立承担民事责任能力的法人、其他组织或自然人，提供合法有效的统一社会信用代码营业执照（事业单位提供事业单位法人证书，自然人提供身份证明）；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2、法定代表人直接参加磋商的，须出具法人身份证；法定代表人授权代表参加磋商的，须出具法定代表人授权书及授权代表身份证；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3、磋商保证金缴纳凭证或担保机构出具的保函；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4、财务状况报告：提供具有财务审计资质单位出具的上一年度财务报告或开标前六个月内其基本账户银行出具的资信证明；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5、社会保障资金缴纳证明：提供磋商前六个月内已缴存的任意时段的社会保障资金缴存单据或社保机构开具的社会保险参保缴费情况证明；依法不需要缴纳社会保障资金的应提供相关文件证明；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6、税收缴纳证明：提供磋商前六个月内已缴纳任意时段完税凭证或税务机关开具的完税证明（任意税种）；依法免税的应提供相关文件证明；</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 xml:space="preserve">7、供应商提供有效期内的《印刷经营许可证》； </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8、参加本次政府采购活动前三年内在经营活动中没有重大违法记录的书面声明；</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9、供应商不得为“信用中国”网站（www.creditchina.gov.cn）及“中国政府采购网”（www.ccgp.gov.cn/）列入失信被执行人、重大税收违法案件当事人名单、政府采购严重失信行为记录名单（提供信用中国网站下载的信用信息及政府采购严重失信行为记录名单截图）；</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10、本项目不接受联合体。</w:t>
            </w:r>
          </w:p>
          <w:p>
            <w:pPr>
              <w:pStyle w:val="2"/>
              <w:ind w:firstLine="0" w:firstLineChars="0"/>
              <w:rPr>
                <w:rFonts w:ascii="宋体" w:hAnsi="宋体" w:cs="宋体"/>
                <w:b/>
                <w:bCs/>
                <w:color w:val="auto"/>
                <w:sz w:val="24"/>
                <w:szCs w:val="24"/>
                <w:highlight w:val="none"/>
              </w:rPr>
            </w:pPr>
            <w:r>
              <w:rPr>
                <w:rFonts w:hint="eastAsia" w:ascii="宋体" w:hAnsi="宋体" w:cs="宋体"/>
                <w:b/>
                <w:bCs/>
                <w:color w:val="auto"/>
                <w:sz w:val="24"/>
                <w:szCs w:val="24"/>
                <w:highlight w:val="none"/>
              </w:rPr>
              <w:t>备注：</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1、除注明原件外，均为复印件加盖供应商公章并附在响应文件中。</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2、上述资格证明文件为必备资格，缺项或者符合性、有效性、合法性审核不合格的，按无效文件处理。</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3、未注明要求原件的资格证明文件，在磋商后的任何时间，磋商小组有权随时要求审查原件，如果磋商人不能按规定时间提供原件，按无效磋商处理。　</w:t>
            </w:r>
            <w:r>
              <w:rPr>
                <w:rFonts w:hint="eastAsia" w:ascii="宋体" w:hAnsi="宋体"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18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联合体竞争性</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w:t>
            </w:r>
          </w:p>
        </w:tc>
        <w:tc>
          <w:tcPr>
            <w:tcW w:w="7176"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189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询问和质疑</w:t>
            </w:r>
          </w:p>
        </w:tc>
        <w:tc>
          <w:tcPr>
            <w:tcW w:w="7176" w:type="dxa"/>
            <w:vAlign w:val="center"/>
          </w:tcPr>
          <w:p>
            <w:pPr>
              <w:spacing w:line="360" w:lineRule="auto"/>
              <w:rPr>
                <w:rFonts w:ascii="宋体" w:hAnsi="宋体" w:cs="宋体"/>
                <w:color w:val="auto"/>
                <w:kern w:val="0"/>
                <w:sz w:val="24"/>
                <w:highlight w:val="none"/>
              </w:rPr>
            </w:pPr>
            <w:r>
              <w:rPr>
                <w:rFonts w:hint="eastAsia" w:ascii="宋体" w:hAnsi="宋体" w:cs="宋体"/>
                <w:color w:val="auto"/>
                <w:sz w:val="24"/>
                <w:highlight w:val="none"/>
              </w:rPr>
              <w:t>已经购买磋商文件的供应商对磋商文件有询问或者质疑的，可以在知道或者知其权益受到损害之日起七个工作日内，以书面形式向采购人、采购代理机构提出。在此之后提出的询问和质疑均为无效，采购代理机构不予受理，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1896" w:type="dxa"/>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sz w:val="24"/>
                <w:highlight w:val="none"/>
              </w:rPr>
              <w:t>答疑</w:t>
            </w:r>
          </w:p>
        </w:tc>
        <w:tc>
          <w:tcPr>
            <w:tcW w:w="7176" w:type="dxa"/>
            <w:vAlign w:val="center"/>
          </w:tcPr>
          <w:p>
            <w:pPr>
              <w:spacing w:line="360" w:lineRule="auto"/>
              <w:rPr>
                <w:rFonts w:ascii="宋体" w:hAnsi="宋体" w:cs="宋体"/>
                <w:color w:val="auto"/>
                <w:kern w:val="0"/>
                <w:sz w:val="24"/>
                <w:highlight w:val="none"/>
              </w:rPr>
            </w:pPr>
            <w:r>
              <w:rPr>
                <w:rFonts w:hint="eastAsia" w:ascii="宋体" w:hAnsi="宋体" w:cs="宋体"/>
                <w:color w:val="auto"/>
                <w:sz w:val="24"/>
                <w:highlight w:val="none"/>
              </w:rPr>
              <w:t>对于供应商在规定时间内依法提出的询问和质疑，采购代理机构将在三个工作日内答复询问，七个工作日内答复质疑。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pPr>
              <w:spacing w:line="360" w:lineRule="auto"/>
              <w:jc w:val="center"/>
              <w:rPr>
                <w:rFonts w:ascii="宋体" w:hAnsi="宋体" w:cs="宋体"/>
                <w:color w:val="auto"/>
                <w:sz w:val="24"/>
                <w:highlight w:val="none"/>
              </w:rPr>
            </w:pPr>
          </w:p>
        </w:tc>
        <w:tc>
          <w:tcPr>
            <w:tcW w:w="18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质疑内容要求</w:t>
            </w:r>
          </w:p>
        </w:tc>
        <w:tc>
          <w:tcPr>
            <w:tcW w:w="7176" w:type="dxa"/>
            <w:vAlign w:val="center"/>
          </w:tcPr>
          <w:p>
            <w:pPr>
              <w:spacing w:line="360" w:lineRule="auto"/>
              <w:rPr>
                <w:rFonts w:ascii="宋体" w:hAnsi="宋体" w:cs="宋体"/>
                <w:color w:val="auto"/>
                <w:sz w:val="24"/>
                <w:highlight w:val="none"/>
              </w:rPr>
            </w:pPr>
            <w:r>
              <w:rPr>
                <w:rFonts w:hint="eastAsia" w:ascii="宋体" w:hAnsi="宋体" w:cs="宋体"/>
                <w:color w:val="auto"/>
                <w:szCs w:val="21"/>
                <w:highlight w:val="none"/>
              </w:rPr>
              <w:t>供</w:t>
            </w:r>
            <w:r>
              <w:rPr>
                <w:rFonts w:hint="eastAsia" w:ascii="宋体" w:hAnsi="宋体" w:cs="宋体"/>
                <w:color w:val="auto"/>
                <w:sz w:val="24"/>
                <w:highlight w:val="none"/>
              </w:rPr>
              <w:t>应商提出质疑应当提交质疑函和必要的证明材料原件，代理机构不接受传真、电子邮件、复印件等形式的质疑材料。</w:t>
            </w:r>
          </w:p>
          <w:p>
            <w:pPr>
              <w:spacing w:line="360" w:lineRule="auto"/>
              <w:rPr>
                <w:rFonts w:ascii="宋体" w:hAnsi="宋体" w:cs="宋体"/>
                <w:color w:val="auto"/>
                <w:sz w:val="24"/>
                <w:highlight w:val="none"/>
              </w:rPr>
            </w:pPr>
            <w:r>
              <w:rPr>
                <w:rFonts w:hint="eastAsia" w:ascii="宋体" w:hAnsi="宋体" w:cs="宋体"/>
                <w:color w:val="auto"/>
                <w:sz w:val="24"/>
                <w:highlight w:val="none"/>
              </w:rPr>
              <w:t>质疑函应当包括下列内容：　</w:t>
            </w:r>
          </w:p>
          <w:p>
            <w:pPr>
              <w:spacing w:line="360" w:lineRule="auto"/>
              <w:rPr>
                <w:rFonts w:ascii="宋体" w:hAnsi="宋体" w:cs="宋体"/>
                <w:color w:val="auto"/>
                <w:sz w:val="24"/>
                <w:highlight w:val="none"/>
              </w:rPr>
            </w:pPr>
            <w:r>
              <w:rPr>
                <w:rFonts w:hint="eastAsia" w:ascii="宋体" w:hAnsi="宋体" w:cs="宋体"/>
                <w:color w:val="auto"/>
                <w:sz w:val="24"/>
                <w:highlight w:val="none"/>
              </w:rPr>
              <w:t>（一）供应商的姓名或者名称、地址、邮编、联系人及联系电话；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（二）质疑项目的名称、编号；</w:t>
            </w:r>
          </w:p>
          <w:p>
            <w:pPr>
              <w:spacing w:line="360" w:lineRule="auto"/>
              <w:rPr>
                <w:rFonts w:ascii="宋体" w:hAnsi="宋体" w:cs="宋体"/>
                <w:color w:val="auto"/>
                <w:sz w:val="24"/>
                <w:highlight w:val="none"/>
              </w:rPr>
            </w:pPr>
            <w:r>
              <w:rPr>
                <w:rFonts w:hint="eastAsia" w:ascii="宋体" w:hAnsi="宋体" w:cs="宋体"/>
                <w:color w:val="auto"/>
                <w:sz w:val="24"/>
                <w:highlight w:val="none"/>
              </w:rPr>
              <w:t>（三）具体、明确的质疑事项和与质疑事项相关的请求；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（四）事实依据；</w:t>
            </w:r>
          </w:p>
          <w:p>
            <w:pPr>
              <w:spacing w:line="360" w:lineRule="auto"/>
              <w:rPr>
                <w:rFonts w:ascii="宋体" w:hAnsi="宋体" w:cs="宋体"/>
                <w:color w:val="auto"/>
                <w:sz w:val="24"/>
                <w:highlight w:val="none"/>
              </w:rPr>
            </w:pPr>
            <w:r>
              <w:rPr>
                <w:rFonts w:hint="eastAsia" w:ascii="宋体" w:hAnsi="宋体" w:cs="宋体"/>
                <w:color w:val="auto"/>
                <w:sz w:val="24"/>
                <w:highlight w:val="none"/>
              </w:rPr>
              <w:t>（五）必要的法律依据；</w:t>
            </w:r>
          </w:p>
          <w:p>
            <w:pPr>
              <w:spacing w:line="360" w:lineRule="auto"/>
              <w:rPr>
                <w:rFonts w:ascii="宋体" w:hAnsi="宋体" w:cs="宋体"/>
                <w:color w:val="auto"/>
                <w:sz w:val="24"/>
                <w:highlight w:val="none"/>
              </w:rPr>
            </w:pPr>
            <w:r>
              <w:rPr>
                <w:rFonts w:hint="eastAsia" w:ascii="宋体" w:hAnsi="宋体" w:cs="宋体"/>
                <w:color w:val="auto"/>
                <w:sz w:val="24"/>
                <w:highlight w:val="none"/>
              </w:rPr>
              <w:t>（六）提出质疑的日期。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供应商为自然人的，应当由本人签字；供应商为法人或者其他组织的，应当由法定代表人、主要负责人，或者其授权代表（附法人代表授权书）签字或者盖章（鲜章），并加盖公章（鲜章）。</w:t>
            </w:r>
          </w:p>
          <w:p>
            <w:pPr>
              <w:spacing w:line="360" w:lineRule="auto"/>
              <w:rPr>
                <w:rFonts w:ascii="宋体" w:hAnsi="宋体" w:cs="宋体"/>
                <w:color w:val="auto"/>
                <w:sz w:val="24"/>
                <w:highlight w:val="none"/>
              </w:rPr>
            </w:pPr>
            <w:r>
              <w:rPr>
                <w:rFonts w:hint="eastAsia" w:ascii="宋体" w:hAnsi="宋体" w:cs="宋体"/>
                <w:color w:val="auto"/>
                <w:sz w:val="24"/>
                <w:highlight w:val="none"/>
              </w:rPr>
              <w:t>接收质疑函的方式：书面形式；</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联系部门：陕西德仁招标有限公司；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联系人：赵璐</w:t>
            </w:r>
          </w:p>
          <w:p>
            <w:pPr>
              <w:spacing w:line="360" w:lineRule="auto"/>
              <w:rPr>
                <w:rFonts w:ascii="宋体" w:hAnsi="宋体" w:cs="宋体"/>
                <w:color w:val="auto"/>
                <w:sz w:val="24"/>
                <w:highlight w:val="none"/>
              </w:rPr>
            </w:pPr>
            <w:r>
              <w:rPr>
                <w:rFonts w:hint="eastAsia" w:ascii="宋体" w:hAnsi="宋体" w:cs="宋体"/>
                <w:color w:val="auto"/>
                <w:sz w:val="24"/>
                <w:highlight w:val="none"/>
              </w:rPr>
              <w:t>联系电话：029-85565073</w:t>
            </w:r>
          </w:p>
          <w:p>
            <w:pPr>
              <w:spacing w:line="360" w:lineRule="auto"/>
              <w:rPr>
                <w:rFonts w:ascii="宋体" w:hAnsi="宋体" w:cs="宋体"/>
                <w:color w:val="auto"/>
                <w:sz w:val="24"/>
                <w:highlight w:val="none"/>
              </w:rPr>
            </w:pPr>
            <w:r>
              <w:rPr>
                <w:rFonts w:hint="eastAsia" w:ascii="宋体" w:hAnsi="宋体" w:cs="宋体"/>
                <w:color w:val="auto"/>
                <w:sz w:val="24"/>
                <w:highlight w:val="none"/>
              </w:rPr>
              <w:t>通讯地址：西安市高新区沣惠南路华晶商务广场B座2301室。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1896" w:type="dxa"/>
            <w:tcBorders>
              <w:top w:val="single" w:color="auto" w:sz="4" w:space="0"/>
              <w:left w:val="single" w:color="auto" w:sz="4" w:space="0"/>
              <w:bottom w:val="single" w:color="auto" w:sz="4" w:space="0"/>
              <w:right w:val="single" w:color="auto" w:sz="4" w:space="0"/>
            </w:tcBorders>
            <w:vAlign w:val="center"/>
          </w:tcPr>
          <w:p>
            <w:pPr>
              <w:pStyle w:val="14"/>
              <w:spacing w:line="460" w:lineRule="exact"/>
              <w:jc w:val="left"/>
              <w:rPr>
                <w:rFonts w:hAnsi="宋体" w:cs="宋体"/>
                <w:color w:val="auto"/>
                <w:sz w:val="24"/>
                <w:szCs w:val="24"/>
                <w:highlight w:val="none"/>
              </w:rPr>
            </w:pPr>
            <w:r>
              <w:rPr>
                <w:rFonts w:hint="eastAsia" w:hAnsi="宋体" w:cs="宋体"/>
                <w:color w:val="auto"/>
                <w:sz w:val="24"/>
                <w:szCs w:val="24"/>
                <w:highlight w:val="none"/>
              </w:rPr>
              <w:t>同品牌多家投标人处理原则</w:t>
            </w:r>
          </w:p>
        </w:tc>
        <w:tc>
          <w:tcPr>
            <w:tcW w:w="7176" w:type="dxa"/>
            <w:tcBorders>
              <w:top w:val="single" w:color="auto" w:sz="4" w:space="0"/>
              <w:left w:val="single" w:color="auto" w:sz="4" w:space="0"/>
              <w:bottom w:val="single" w:color="auto" w:sz="4" w:space="0"/>
              <w:right w:val="single" w:color="auto" w:sz="4" w:space="0"/>
            </w:tcBorders>
            <w:vAlign w:val="center"/>
          </w:tcPr>
          <w:p>
            <w:pPr>
              <w:pStyle w:val="14"/>
              <w:spacing w:line="460" w:lineRule="exact"/>
              <w:jc w:val="left"/>
              <w:rPr>
                <w:rFonts w:hAnsi="宋体" w:cs="宋体"/>
                <w:color w:val="auto"/>
                <w:sz w:val="24"/>
                <w:szCs w:val="24"/>
                <w:highlight w:val="none"/>
              </w:rPr>
            </w:pPr>
            <w:r>
              <w:rPr>
                <w:rFonts w:hint="eastAsia" w:hAnsi="宋体" w:cs="宋体"/>
                <w:color w:val="auto"/>
                <w:sz w:val="24"/>
                <w:szCs w:val="24"/>
                <w:highlight w:val="none"/>
              </w:rPr>
              <w:t>综合评分法：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 得分相同的，按投标报价由低到高顺序排列。得分且投标报价相同的，按技术指标优劣顺序排列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磋商有效期</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90日历天（自磋商截止之日算起）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磋商保证金</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ind w:left="-1" w:leftChars="-13" w:hanging="26" w:hangingChars="11"/>
              <w:rPr>
                <w:rFonts w:ascii="宋体" w:hAnsi="宋体" w:cs="宋体"/>
                <w:color w:val="auto"/>
                <w:sz w:val="24"/>
                <w:highlight w:val="none"/>
              </w:rPr>
            </w:pPr>
            <w:r>
              <w:rPr>
                <w:rFonts w:hint="eastAsia" w:ascii="宋体" w:hAnsi="宋体" w:cs="宋体"/>
                <w:color w:val="auto"/>
                <w:sz w:val="24"/>
                <w:highlight w:val="none"/>
              </w:rPr>
              <w:t>1、要求提供，金额不得超过采购项目预算金额的2%，本项目的磋商保证金为：人民币</w:t>
            </w:r>
            <w:r>
              <w:rPr>
                <w:rFonts w:hint="eastAsia" w:ascii="宋体" w:hAnsi="宋体" w:cs="宋体"/>
                <w:color w:val="auto"/>
                <w:sz w:val="24"/>
                <w:highlight w:val="none"/>
                <w:lang w:val="en-US" w:eastAsia="zh-CN"/>
              </w:rPr>
              <w:t>叁万元</w:t>
            </w:r>
            <w:r>
              <w:rPr>
                <w:rFonts w:hint="eastAsia" w:ascii="宋体" w:hAnsi="宋体" w:cs="宋体"/>
                <w:color w:val="auto"/>
                <w:sz w:val="24"/>
                <w:highlight w:val="none"/>
              </w:rPr>
              <w:t>整（￥30000元）</w:t>
            </w:r>
          </w:p>
          <w:p>
            <w:pPr>
              <w:spacing w:line="360" w:lineRule="auto"/>
              <w:ind w:left="-1" w:leftChars="-13" w:hanging="26" w:hangingChars="11"/>
              <w:rPr>
                <w:rFonts w:ascii="宋体" w:hAnsi="宋体" w:cs="宋体"/>
                <w:color w:val="auto"/>
                <w:sz w:val="24"/>
                <w:highlight w:val="none"/>
              </w:rPr>
            </w:pPr>
            <w:r>
              <w:rPr>
                <w:rFonts w:hint="eastAsia" w:ascii="宋体" w:hAnsi="宋体" w:cs="宋体"/>
                <w:color w:val="auto"/>
                <w:sz w:val="24"/>
                <w:highlight w:val="none"/>
              </w:rPr>
              <w:t>2、交纳方式：磋商保证金应当以网银、支票、汇票、本票或者金融机构、担保机构出具的保函等非现金形式提交。</w:t>
            </w:r>
          </w:p>
          <w:p>
            <w:pPr>
              <w:spacing w:line="360" w:lineRule="auto"/>
              <w:ind w:left="-1" w:leftChars="-13" w:hanging="26" w:hangingChars="11"/>
              <w:rPr>
                <w:rFonts w:ascii="宋体" w:hAnsi="宋体" w:cs="宋体"/>
                <w:b/>
                <w:bCs/>
                <w:color w:val="auto"/>
                <w:sz w:val="24"/>
                <w:highlight w:val="none"/>
              </w:rPr>
            </w:pPr>
            <w:r>
              <w:rPr>
                <w:rFonts w:hint="eastAsia" w:ascii="宋体" w:hAnsi="宋体" w:cs="宋体"/>
                <w:color w:val="auto"/>
                <w:sz w:val="24"/>
                <w:highlight w:val="none"/>
              </w:rPr>
              <w:t>3、交纳截止时间：磋商文件递交截止时间前，必须在此时间之前到达指定账户。</w:t>
            </w:r>
          </w:p>
          <w:p>
            <w:pPr>
              <w:spacing w:line="360" w:lineRule="auto"/>
              <w:ind w:left="-1" w:leftChars="-13" w:hanging="26" w:hangingChars="11"/>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b/>
                <w:bCs/>
                <w:color w:val="auto"/>
                <w:sz w:val="24"/>
                <w:highlight w:val="none"/>
              </w:rPr>
              <w:t>以转账方式交纳磋商保证金须注明项目编号+用途(磋商保证金)便于陕西德仁招标有限公司财务部查询登记。</w:t>
            </w:r>
          </w:p>
          <w:p>
            <w:pPr>
              <w:spacing w:line="360" w:lineRule="auto"/>
              <w:rPr>
                <w:rFonts w:ascii="宋体" w:hAnsi="宋体" w:cs="宋体"/>
                <w:color w:val="auto"/>
                <w:sz w:val="24"/>
                <w:highlight w:val="none"/>
              </w:rPr>
            </w:pPr>
            <w:r>
              <w:rPr>
                <w:rFonts w:hint="eastAsia" w:ascii="宋体" w:hAnsi="宋体" w:cs="宋体"/>
                <w:color w:val="auto"/>
                <w:sz w:val="24"/>
                <w:highlight w:val="none"/>
              </w:rPr>
              <w:t>收款单位：陕西德仁招标有限公司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开户银行：建设银行西安含光南路支行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账    号：6105 0172 6500 0000 0081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采购代理机构公司财务室电话：029-85565073</w:t>
            </w:r>
          </w:p>
          <w:p>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重要提示：</w:t>
            </w:r>
            <w:r>
              <w:rPr>
                <w:rFonts w:hint="eastAsia" w:ascii="宋体" w:hAnsi="宋体" w:cs="宋体"/>
                <w:color w:val="auto"/>
                <w:sz w:val="24"/>
                <w:highlight w:val="none"/>
              </w:rPr>
              <w:t>磋商保证金必须在投标截止时间之前交纳方为有效。请投标人考虑资金在银行之间的转账要求和时间成本，确保在投标截止时间之前陕西德仁招标有限公司上述指定的账户能收到所交的磋商保证金，</w:t>
            </w:r>
            <w:r>
              <w:rPr>
                <w:rFonts w:hint="eastAsia" w:ascii="宋体" w:hAnsi="宋体" w:cs="宋体"/>
                <w:b/>
                <w:color w:val="auto"/>
                <w:sz w:val="24"/>
                <w:highlight w:val="none"/>
              </w:rPr>
              <w:t>如果在投标截止时间陕西德仁招标有限公司上述账户未能收到磋商保证金，则该投标为无效。</w:t>
            </w:r>
            <w:r>
              <w:rPr>
                <w:rFonts w:hint="eastAsia" w:ascii="宋体" w:hAnsi="宋体" w:cs="宋体"/>
                <w:b/>
                <w:bCs/>
                <w:color w:val="auto"/>
                <w:sz w:val="24"/>
                <w:highlight w:val="none"/>
              </w:rPr>
              <w:t>以银行保函形式交纳的，应于保证金截止时间前将银行保函交于采购代理公司财务部并开具收据</w:t>
            </w:r>
            <w:r>
              <w:rPr>
                <w:rFonts w:hint="eastAsia" w:ascii="宋体" w:hAnsi="宋体" w:cs="宋体"/>
                <w:color w:val="auto"/>
                <w:sz w:val="24"/>
                <w:highlight w:val="none"/>
              </w:rPr>
              <w:t>，否则视为未提交保证金。供应商应将保证金缴纳凭证（转账、电汇的凭证或投标担保函换取的收据）复印件加盖红色公章装订在响应文件（正、副本）中，凡响应文件中未附保证金缴纳凭证的磋商人，视为非响应性磋商，其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是否允许递交备选磋商文件方案</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22</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签字或盖章要求</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文件中要求盖章签字的地方，均应按要求加盖投标供应商印章，并经法人或授权委托人签字或盖章（投标函、报价表、供应商营业执照、财务、纳税、社保、业绩等证明资料均应加盖公章）。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23</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磋商响应文件份数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正本壹份，副本贰份，电子版（U盘）壹份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24</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电子版文档要求</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1．供应商须另行提供与纸质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正本一致的PDF及word格式U盘，且盖章、签字处必须扫描并清晰可辨（word版本不需要签字和盖章）；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2．磋商供应商须保证磋商响应文件纸质文件与电子文档保持一致；</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3．电子文档表面需标明项目编号、磋商供应商名称等信息。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25</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磋商响应文件装订及密封要求</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1）文件正、副本应分别装订成册，装订应牢固、不易拆散和换页，不得采用活页装订。</w:t>
            </w:r>
          </w:p>
          <w:p>
            <w:pPr>
              <w:spacing w:line="360" w:lineRule="auto"/>
              <w:rPr>
                <w:rFonts w:ascii="宋体" w:hAnsi="宋体" w:cs="宋体"/>
                <w:color w:val="auto"/>
                <w:sz w:val="24"/>
                <w:highlight w:val="none"/>
              </w:rPr>
            </w:pPr>
            <w:r>
              <w:rPr>
                <w:rFonts w:hint="eastAsia" w:ascii="宋体" w:hAnsi="宋体" w:cs="宋体"/>
                <w:color w:val="auto"/>
                <w:sz w:val="24"/>
                <w:highlight w:val="none"/>
              </w:rPr>
              <w:t>2）密封包装方式（共3包）：</w:t>
            </w:r>
          </w:p>
          <w:p>
            <w:pPr>
              <w:spacing w:line="360" w:lineRule="auto"/>
              <w:rPr>
                <w:rFonts w:ascii="宋体" w:hAnsi="宋体" w:cs="宋体"/>
                <w:color w:val="auto"/>
                <w:sz w:val="24"/>
                <w:highlight w:val="none"/>
              </w:rPr>
            </w:pPr>
            <w:r>
              <w:rPr>
                <w:rFonts w:hint="eastAsia" w:ascii="宋体" w:hAnsi="宋体" w:cs="宋体"/>
                <w:color w:val="auto"/>
                <w:sz w:val="24"/>
                <w:highlight w:val="none"/>
              </w:rPr>
              <w:t>①响应文件正本一包密封。</w:t>
            </w:r>
          </w:p>
          <w:p>
            <w:pPr>
              <w:spacing w:line="360" w:lineRule="auto"/>
              <w:rPr>
                <w:rFonts w:ascii="宋体" w:hAnsi="宋体" w:cs="宋体"/>
                <w:color w:val="auto"/>
                <w:sz w:val="24"/>
                <w:highlight w:val="none"/>
              </w:rPr>
            </w:pPr>
            <w:r>
              <w:rPr>
                <w:rFonts w:hint="eastAsia" w:ascii="宋体" w:hAnsi="宋体" w:cs="宋体"/>
                <w:color w:val="auto"/>
                <w:sz w:val="24"/>
                <w:highlight w:val="none"/>
              </w:rPr>
              <w:t>②响应文件副本一包密封。</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③响应文件电子版一包密封。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26</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封套上写明</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封套上应写明：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                       正/副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响应文件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在    年  月  日 时  分前不得开启</w:t>
            </w: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（公章）</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法定代表人或授权代表：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27</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递交磋商文件地点</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28</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是否退还磋商文件</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29</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磋商时间和地点</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磋商时间：2019年12月</w:t>
            </w:r>
            <w:r>
              <w:rPr>
                <w:rFonts w:hint="eastAsia" w:ascii="宋体" w:hAnsi="宋体" w:cs="宋体"/>
                <w:color w:val="auto"/>
                <w:sz w:val="24"/>
                <w:highlight w:val="none"/>
                <w:lang w:val="en-US" w:eastAsia="zh-CN"/>
              </w:rPr>
              <w:t>31</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:30分</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磋商地点：西安市高新区沣惠南路20号华晶商务广场B座2301室。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30</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磋商委员会的组建</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磋商小组构成：3人，其中项目采购人代表1人，专家2人；</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磋商专家确定方式：从专家库随机抽取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31</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是否授权磋商小组确定磋商供应商</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32</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履约担保</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33</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磋商企业的政府采购政策</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1)《政府采购促进中小企业发展暂行办法》（财库【2011】181号）； </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2)《财政部 司法部关于政府采购支持监狱企业发展有关问题的通知》（财库【2014】68号）； </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3)《关于促进残疾人就业政府采购政策的通知》（财库【2017】141号）；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34</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磋商设备的政府采购政策</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1)《国务院办公厅关于建立政府强制采购节能产品制度的通知》（国发办【2007】51号）； </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2)《节能产品政府采购实施意见》--财库[2004]185号 </w:t>
            </w:r>
          </w:p>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3)《环境标志产品政府采购实施的意见》--财库[2006]90号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35</w:t>
            </w:r>
          </w:p>
        </w:tc>
        <w:tc>
          <w:tcPr>
            <w:tcW w:w="1896"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支持中小企业</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对小型和微型企业的价格给予6%～10%的扣除，用扣除后的价格参与评审。本项目的扣除比例为：小型企业扣除6%，微型企业扣除6%。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36</w:t>
            </w:r>
          </w:p>
        </w:tc>
        <w:tc>
          <w:tcPr>
            <w:tcW w:w="1896" w:type="dxa"/>
            <w:tcBorders>
              <w:top w:val="single" w:color="auto" w:sz="4" w:space="0"/>
              <w:left w:val="single" w:color="auto" w:sz="4" w:space="0"/>
              <w:bottom w:val="single" w:color="auto" w:sz="4" w:space="0"/>
              <w:right w:val="single" w:color="auto" w:sz="4" w:space="0"/>
            </w:tcBorders>
            <w:vAlign w:val="center"/>
          </w:tcPr>
          <w:p>
            <w:pPr>
              <w:pStyle w:val="14"/>
              <w:jc w:val="center"/>
              <w:rPr>
                <w:rFonts w:hAnsi="宋体" w:cs="宋体"/>
                <w:color w:val="auto"/>
                <w:sz w:val="24"/>
                <w:szCs w:val="24"/>
                <w:highlight w:val="none"/>
              </w:rPr>
            </w:pPr>
            <w:r>
              <w:rPr>
                <w:rFonts w:hint="eastAsia" w:hAnsi="宋体" w:cs="宋体"/>
                <w:color w:val="auto"/>
                <w:sz w:val="24"/>
                <w:szCs w:val="24"/>
                <w:highlight w:val="none"/>
              </w:rPr>
              <w:t>支持监狱企业</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监狱企业可视同小微企业在价格评审时给予6%～10%的扣除，用扣除后的价格参与评审。本项目的扣除比例为：扣除6%。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37</w:t>
            </w:r>
          </w:p>
        </w:tc>
        <w:tc>
          <w:tcPr>
            <w:tcW w:w="1896" w:type="dxa"/>
            <w:tcBorders>
              <w:top w:val="single" w:color="auto" w:sz="4" w:space="0"/>
              <w:left w:val="single" w:color="auto" w:sz="4" w:space="0"/>
              <w:bottom w:val="single" w:color="auto" w:sz="4" w:space="0"/>
              <w:right w:val="single" w:color="auto" w:sz="4" w:space="0"/>
            </w:tcBorders>
            <w:vAlign w:val="center"/>
          </w:tcPr>
          <w:p>
            <w:pPr>
              <w:pStyle w:val="14"/>
              <w:jc w:val="left"/>
              <w:rPr>
                <w:rFonts w:hAnsi="宋体" w:cs="宋体"/>
                <w:color w:val="auto"/>
                <w:sz w:val="24"/>
                <w:szCs w:val="24"/>
                <w:highlight w:val="none"/>
              </w:rPr>
            </w:pPr>
            <w:r>
              <w:rPr>
                <w:rFonts w:hint="eastAsia" w:hAnsi="宋体" w:cs="宋体"/>
                <w:color w:val="auto"/>
                <w:sz w:val="24"/>
                <w:szCs w:val="24"/>
                <w:highlight w:val="none"/>
              </w:rPr>
              <w:t>其他法律法规强制性规定或扶持政策</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残疾人福利性单位可视同小微企业在价格评审时给予6%～10%的扣除，用扣除后的价格参与评审。</w:t>
            </w:r>
          </w:p>
          <w:p>
            <w:pPr>
              <w:spacing w:line="420" w:lineRule="exact"/>
              <w:rPr>
                <w:rFonts w:ascii="宋体" w:hAnsi="宋体" w:cs="宋体"/>
                <w:color w:val="auto"/>
                <w:sz w:val="24"/>
                <w:highlight w:val="none"/>
              </w:rPr>
            </w:pPr>
            <w:r>
              <w:rPr>
                <w:rFonts w:hint="eastAsia" w:ascii="宋体" w:hAnsi="宋体" w:cs="宋体"/>
                <w:color w:val="auto"/>
                <w:sz w:val="24"/>
                <w:highlight w:val="none"/>
              </w:rPr>
              <w:t>本项目的扣除比例为：扣除6%；但应满足下列条件：</w:t>
            </w:r>
          </w:p>
          <w:p>
            <w:pPr>
              <w:spacing w:line="420" w:lineRule="exact"/>
              <w:rPr>
                <w:rFonts w:ascii="宋体" w:hAnsi="宋体" w:cs="宋体"/>
                <w:color w:val="auto"/>
                <w:sz w:val="24"/>
                <w:highlight w:val="none"/>
              </w:rPr>
            </w:pPr>
            <w:r>
              <w:rPr>
                <w:rFonts w:hint="eastAsia" w:ascii="宋体" w:hAnsi="宋体" w:cs="宋体"/>
                <w:color w:val="auto"/>
                <w:sz w:val="24"/>
                <w:highlight w:val="none"/>
              </w:rPr>
              <w:t>1)残疾人福利性单位应符合《财政部、民政部、中国残疾人联合会关于促进残疾人就业政府采购政策的通知》（财库[2017]141号）文件规定，并提供《残疾人福利性单位声明函》。</w:t>
            </w:r>
          </w:p>
          <w:p>
            <w:pPr>
              <w:spacing w:line="420" w:lineRule="exact"/>
              <w:rPr>
                <w:rFonts w:ascii="宋体" w:hAnsi="宋体" w:cs="宋体"/>
                <w:color w:val="auto"/>
                <w:sz w:val="24"/>
                <w:highlight w:val="none"/>
              </w:rPr>
            </w:pPr>
            <w:r>
              <w:rPr>
                <w:rFonts w:hint="eastAsia" w:ascii="宋体" w:hAnsi="宋体" w:cs="宋体"/>
                <w:color w:val="auto"/>
                <w:sz w:val="24"/>
                <w:highlight w:val="none"/>
              </w:rPr>
              <w:t>2)残疾人福利性单位属于小型、微型企业的，不重复享受政策。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38</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信用查询</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1)“信用中国”（www.creditchina.gov.cn）和“中国政府采购”（www.ccgp.gov.cn）为供应商信用信息查询渠道。</w:t>
            </w: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2)查询内容包括失信被执行人、重大税收违法案件当事人名单、政府采购严重违法失信行为记录名单，提供网站截图。</w:t>
            </w:r>
          </w:p>
          <w:p>
            <w:pPr>
              <w:spacing w:line="360" w:lineRule="auto"/>
              <w:rPr>
                <w:rFonts w:ascii="宋体" w:hAnsi="宋体" w:cs="宋体"/>
                <w:color w:val="auto"/>
                <w:sz w:val="24"/>
                <w:highlight w:val="none"/>
              </w:rPr>
            </w:pPr>
            <w:r>
              <w:rPr>
                <w:rFonts w:hint="eastAsia" w:ascii="宋体" w:hAnsi="宋体" w:cs="宋体"/>
                <w:color w:val="auto"/>
                <w:sz w:val="24"/>
                <w:highlight w:val="none"/>
              </w:rPr>
              <w:t>3)投标人自行查询上述记录，如实提供无不良信用记录承诺并加盖投标人公章；联合体参加投标的，所有联合体成员均须加盖公章。</w:t>
            </w:r>
          </w:p>
          <w:p>
            <w:pPr>
              <w:spacing w:line="420" w:lineRule="exact"/>
              <w:rPr>
                <w:rFonts w:ascii="宋体" w:hAnsi="宋体" w:cs="宋体"/>
                <w:color w:val="auto"/>
                <w:sz w:val="24"/>
                <w:highlight w:val="none"/>
              </w:rPr>
            </w:pPr>
            <w:r>
              <w:rPr>
                <w:rFonts w:hint="eastAsia" w:ascii="宋体" w:hAnsi="宋体" w:cs="宋体"/>
                <w:color w:val="auto"/>
                <w:sz w:val="24"/>
                <w:highlight w:val="none"/>
              </w:rPr>
              <w:t>4)查询截止时点：投标截止时间前查询相关主体信用记录已列入失信被执行人、重大税收违法案件当事人名单、政府采购严重违法失信行为记录名单，其响应无效。。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39</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磋商报价次数、磋商程序和最终报价的产生原则</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本次磋商采用二次报价。</w:t>
            </w:r>
          </w:p>
          <w:p>
            <w:pPr>
              <w:spacing w:line="420" w:lineRule="exact"/>
              <w:rPr>
                <w:rFonts w:ascii="宋体" w:hAnsi="宋体" w:cs="宋体"/>
                <w:color w:val="auto"/>
                <w:sz w:val="24"/>
                <w:highlight w:val="none"/>
              </w:rPr>
            </w:pPr>
            <w:r>
              <w:rPr>
                <w:rFonts w:hint="eastAsia" w:ascii="宋体" w:hAnsi="宋体" w:cs="宋体"/>
                <w:color w:val="auto"/>
                <w:sz w:val="24"/>
                <w:highlight w:val="none"/>
              </w:rPr>
              <w:t>磋商程序为：</w:t>
            </w:r>
          </w:p>
          <w:p>
            <w:pPr>
              <w:spacing w:line="420" w:lineRule="exact"/>
              <w:rPr>
                <w:rFonts w:ascii="宋体" w:hAnsi="宋体" w:cs="宋体"/>
                <w:color w:val="auto"/>
                <w:sz w:val="24"/>
                <w:highlight w:val="none"/>
              </w:rPr>
            </w:pPr>
            <w:r>
              <w:rPr>
                <w:rFonts w:hint="eastAsia" w:ascii="宋体" w:hAnsi="宋体" w:cs="宋体"/>
                <w:color w:val="auto"/>
                <w:sz w:val="24"/>
                <w:highlight w:val="none"/>
              </w:rPr>
              <w:t>1)磋商小组对所有提交的响应文件进行评审；</w:t>
            </w:r>
          </w:p>
          <w:p>
            <w:pPr>
              <w:spacing w:line="420" w:lineRule="exact"/>
              <w:rPr>
                <w:rFonts w:ascii="宋体" w:hAnsi="宋体" w:cs="宋体"/>
                <w:color w:val="auto"/>
                <w:sz w:val="24"/>
                <w:highlight w:val="none"/>
              </w:rPr>
            </w:pPr>
            <w:r>
              <w:rPr>
                <w:rFonts w:hint="eastAsia" w:ascii="宋体" w:hAnsi="宋体" w:cs="宋体"/>
                <w:color w:val="auto"/>
                <w:sz w:val="24"/>
                <w:highlight w:val="none"/>
              </w:rPr>
              <w:t>2)磋商小组所有成员集中与单一供应商分别进行磋商；</w:t>
            </w:r>
          </w:p>
          <w:p>
            <w:pPr>
              <w:spacing w:line="420" w:lineRule="exact"/>
              <w:rPr>
                <w:rFonts w:ascii="宋体" w:hAnsi="宋体" w:cs="宋体"/>
                <w:color w:val="auto"/>
                <w:sz w:val="24"/>
                <w:highlight w:val="none"/>
              </w:rPr>
            </w:pPr>
            <w:r>
              <w:rPr>
                <w:rFonts w:hint="eastAsia" w:ascii="宋体" w:hAnsi="宋体" w:cs="宋体"/>
                <w:color w:val="auto"/>
                <w:sz w:val="24"/>
                <w:highlight w:val="none"/>
              </w:rPr>
              <w:t>3)供应商按照要求提交二次报价；</w:t>
            </w:r>
          </w:p>
          <w:p>
            <w:pPr>
              <w:spacing w:line="420" w:lineRule="exact"/>
              <w:rPr>
                <w:rFonts w:ascii="宋体" w:hAnsi="宋体" w:cs="宋体"/>
                <w:color w:val="auto"/>
                <w:sz w:val="24"/>
                <w:highlight w:val="none"/>
              </w:rPr>
            </w:pPr>
            <w:r>
              <w:rPr>
                <w:rFonts w:hint="eastAsia" w:ascii="宋体" w:hAnsi="宋体" w:cs="宋体"/>
                <w:color w:val="auto"/>
                <w:sz w:val="24"/>
                <w:highlight w:val="none"/>
              </w:rPr>
              <w:t>4)磋商小组评审、推荐成交候选人。</w:t>
            </w:r>
          </w:p>
          <w:p>
            <w:pPr>
              <w:spacing w:line="420" w:lineRule="exact"/>
              <w:rPr>
                <w:rFonts w:ascii="宋体" w:hAnsi="宋体" w:cs="宋体"/>
                <w:color w:val="auto"/>
                <w:sz w:val="24"/>
                <w:highlight w:val="none"/>
              </w:rPr>
            </w:pPr>
            <w:r>
              <w:rPr>
                <w:rFonts w:hint="eastAsia" w:ascii="宋体" w:hAnsi="宋体" w:cs="宋体"/>
                <w:color w:val="auto"/>
                <w:sz w:val="24"/>
                <w:highlight w:val="none"/>
              </w:rPr>
              <w:t>在磋商过程中，磋商小组可以根据磋商文件和磋商情况实质性变动采购需求中的技术、服务要求以及合同草案条款，二次报价为最终报价。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40</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推荐成交候选人数</w:t>
            </w:r>
          </w:p>
        </w:tc>
        <w:tc>
          <w:tcPr>
            <w:tcW w:w="717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41</w:t>
            </w:r>
          </w:p>
        </w:tc>
        <w:tc>
          <w:tcPr>
            <w:tcW w:w="1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招标代理费</w:t>
            </w:r>
          </w:p>
        </w:tc>
        <w:tc>
          <w:tcPr>
            <w:tcW w:w="717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auto"/>
                <w:sz w:val="24"/>
                <w:highlight w:val="none"/>
              </w:rPr>
            </w:pPr>
            <w:r>
              <w:rPr>
                <w:rFonts w:hint="eastAsia" w:ascii="宋体" w:hAnsi="宋体" w:cs="宋体"/>
                <w:color w:val="auto"/>
                <w:sz w:val="24"/>
                <w:highlight w:val="none"/>
              </w:rPr>
              <w:t>由成交人在领取成交通知书之前向代理公司支付，代理服务费的收取参见国家计委颁布的《招标代理服务收费管理暂行办法》（计价格[2002]1980号）和（发改办价格[2003]857号）收费标准收取。</w:t>
            </w:r>
          </w:p>
          <w:p>
            <w:pPr>
              <w:spacing w:line="420" w:lineRule="exact"/>
              <w:rPr>
                <w:rFonts w:ascii="宋体" w:hAnsi="宋体" w:cs="宋体"/>
                <w:color w:val="auto"/>
                <w:sz w:val="24"/>
                <w:highlight w:val="none"/>
              </w:rPr>
            </w:pPr>
            <w:r>
              <w:rPr>
                <w:rFonts w:hint="eastAsia" w:ascii="宋体" w:hAnsi="宋体" w:cs="宋体"/>
                <w:color w:val="auto"/>
                <w:sz w:val="24"/>
                <w:highlight w:val="none"/>
              </w:rPr>
              <w:t>代理费缴纳账户：</w:t>
            </w:r>
          </w:p>
          <w:p>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银行户名：陕西德仁招标有限公司</w:t>
            </w:r>
          </w:p>
          <w:p>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开户银行：招商银行股份有限公司西安城南支行</w:t>
            </w:r>
          </w:p>
          <w:p>
            <w:pPr>
              <w:spacing w:line="420" w:lineRule="exact"/>
              <w:rPr>
                <w:rFonts w:ascii="宋体" w:hAnsi="宋体" w:cs="宋体"/>
                <w:b/>
                <w:bCs/>
                <w:color w:val="auto"/>
                <w:sz w:val="24"/>
                <w:highlight w:val="none"/>
              </w:rPr>
            </w:pPr>
            <w:r>
              <w:rPr>
                <w:rFonts w:hint="eastAsia" w:ascii="宋体" w:hAnsi="宋体" w:cs="宋体"/>
                <w:b/>
                <w:bCs/>
                <w:color w:val="auto"/>
                <w:sz w:val="24"/>
                <w:highlight w:val="none"/>
              </w:rPr>
              <w:t>账    号：1299 0904 6810 901</w:t>
            </w:r>
          </w:p>
          <w:p>
            <w:pPr>
              <w:spacing w:line="420" w:lineRule="exact"/>
              <w:rPr>
                <w:rFonts w:ascii="宋体" w:hAnsi="宋体" w:cs="宋体"/>
                <w:color w:val="auto"/>
                <w:sz w:val="24"/>
                <w:highlight w:val="none"/>
              </w:rPr>
            </w:pPr>
            <w:r>
              <w:rPr>
                <w:rFonts w:hint="eastAsia" w:ascii="宋体" w:hAnsi="宋体" w:cs="宋体"/>
                <w:b/>
                <w:bCs/>
                <w:color w:val="auto"/>
                <w:sz w:val="24"/>
                <w:highlight w:val="none"/>
              </w:rPr>
              <w:t>联系人：杨会计  联系电话：029-85565073</w:t>
            </w:r>
          </w:p>
        </w:tc>
      </w:tr>
    </w:tbl>
    <w:p>
      <w:pPr>
        <w:rPr>
          <w:rFonts w:ascii="宋体" w:hAnsi="宋体" w:cs="宋体"/>
          <w:b/>
          <w:color w:val="auto"/>
          <w:sz w:val="30"/>
          <w:szCs w:val="30"/>
          <w:highlight w:val="none"/>
        </w:rPr>
      </w:pPr>
      <w:bookmarkStart w:id="13" w:name="_Toc32286"/>
      <w:bookmarkStart w:id="14" w:name="_Toc519156737"/>
      <w:bookmarkStart w:id="15" w:name="_Toc32045"/>
      <w:r>
        <w:rPr>
          <w:rFonts w:ascii="宋体" w:hAnsi="宋体" w:cs="宋体"/>
          <w:b/>
          <w:color w:val="auto"/>
          <w:sz w:val="30"/>
          <w:szCs w:val="30"/>
          <w:highlight w:val="none"/>
        </w:rPr>
        <w:br w:type="page"/>
      </w:r>
    </w:p>
    <w:p>
      <w:pPr>
        <w:pStyle w:val="4"/>
        <w:rPr>
          <w:color w:val="auto"/>
          <w:highlight w:val="none"/>
        </w:rPr>
      </w:pPr>
      <w:bookmarkStart w:id="16" w:name="_Toc29464"/>
      <w:r>
        <w:rPr>
          <w:rFonts w:hint="eastAsia"/>
          <w:color w:val="auto"/>
          <w:highlight w:val="none"/>
        </w:rPr>
        <w:t>一．名词解释</w:t>
      </w:r>
      <w:bookmarkEnd w:id="13"/>
      <w:bookmarkEnd w:id="14"/>
      <w:bookmarkEnd w:id="15"/>
      <w:bookmarkEnd w:id="16"/>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采购人： 陕西省退役军人事务厅</w:t>
      </w:r>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监督机构：政府采购监督管理部门及监察部门</w:t>
      </w:r>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采购代理机构：陕西德仁招标有限公司</w:t>
      </w:r>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磋商供应商：满足本次磋商要求具有相应资质和完成项目能力的供应商</w:t>
      </w:r>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磋商文件：磋商文件与磋商响应文件的统称</w:t>
      </w:r>
    </w:p>
    <w:p>
      <w:pPr>
        <w:numPr>
          <w:ilvl w:val="0"/>
          <w:numId w:val="1"/>
        </w:numPr>
        <w:tabs>
          <w:tab w:val="clear" w:pos="840"/>
        </w:tabs>
        <w:spacing w:line="420" w:lineRule="exact"/>
        <w:ind w:left="-120" w:leftChars="-57" w:firstLine="0"/>
        <w:rPr>
          <w:rFonts w:ascii="宋体" w:hAnsi="宋体" w:cs="宋体"/>
          <w:color w:val="auto"/>
          <w:sz w:val="24"/>
          <w:highlight w:val="none"/>
        </w:rPr>
      </w:pPr>
      <w:r>
        <w:rPr>
          <w:rFonts w:hint="eastAsia" w:ascii="宋体" w:hAnsi="宋体" w:cs="宋体"/>
          <w:color w:val="auto"/>
          <w:sz w:val="24"/>
          <w:highlight w:val="none"/>
        </w:rPr>
        <w:t>成交供应商：由磋商小组推荐经采购人确认的磋商供应商</w:t>
      </w:r>
    </w:p>
    <w:p>
      <w:pPr>
        <w:numPr>
          <w:ilvl w:val="0"/>
          <w:numId w:val="1"/>
        </w:numPr>
        <w:tabs>
          <w:tab w:val="clear" w:pos="840"/>
        </w:tabs>
        <w:spacing w:line="420" w:lineRule="exact"/>
        <w:ind w:left="-120" w:leftChars="-57" w:firstLine="0"/>
        <w:rPr>
          <w:color w:val="auto"/>
          <w:sz w:val="24"/>
          <w:highlight w:val="none"/>
        </w:rPr>
      </w:pPr>
      <w:r>
        <w:rPr>
          <w:rFonts w:hint="eastAsia" w:ascii="宋体" w:hAnsi="宋体" w:cs="宋体"/>
          <w:color w:val="auto"/>
          <w:spacing w:val="6"/>
          <w:sz w:val="24"/>
          <w:highlight w:val="none"/>
        </w:rPr>
        <w:t>近3年：从2016年1月1日起，至本项目磋商文件递交截止</w:t>
      </w:r>
      <w:r>
        <w:rPr>
          <w:rFonts w:hint="eastAsia" w:ascii="宋体" w:hAnsi="宋体" w:cs="宋体"/>
          <w:color w:val="auto"/>
          <w:sz w:val="24"/>
          <w:highlight w:val="none"/>
        </w:rPr>
        <w:t>时间止</w:t>
      </w:r>
    </w:p>
    <w:p>
      <w:pPr>
        <w:spacing w:line="420" w:lineRule="exact"/>
        <w:rPr>
          <w:rFonts w:ascii="宋体" w:hAnsi="宋体" w:cs="宋体"/>
          <w:color w:val="auto"/>
          <w:sz w:val="24"/>
          <w:highlight w:val="none"/>
        </w:rPr>
      </w:pPr>
    </w:p>
    <w:p>
      <w:pPr>
        <w:spacing w:line="420" w:lineRule="exact"/>
        <w:jc w:val="center"/>
        <w:outlineLvl w:val="1"/>
        <w:rPr>
          <w:rFonts w:ascii="宋体" w:hAnsi="宋体" w:cs="宋体"/>
          <w:color w:val="auto"/>
          <w:sz w:val="30"/>
          <w:szCs w:val="30"/>
          <w:highlight w:val="none"/>
        </w:rPr>
      </w:pPr>
      <w:bookmarkStart w:id="17" w:name="_Toc18550"/>
      <w:bookmarkStart w:id="18" w:name="_Toc24609"/>
      <w:bookmarkStart w:id="19" w:name="_Toc12298"/>
      <w:bookmarkStart w:id="20" w:name="_Toc519156738"/>
      <w:r>
        <w:rPr>
          <w:rFonts w:hint="eastAsia" w:ascii="宋体" w:hAnsi="宋体" w:cs="宋体"/>
          <w:b/>
          <w:color w:val="auto"/>
          <w:sz w:val="30"/>
          <w:szCs w:val="30"/>
          <w:highlight w:val="none"/>
        </w:rPr>
        <w:t>二．磋商供应商</w:t>
      </w:r>
      <w:bookmarkEnd w:id="17"/>
      <w:bookmarkEnd w:id="18"/>
      <w:bookmarkEnd w:id="19"/>
      <w:bookmarkEnd w:id="20"/>
    </w:p>
    <w:p>
      <w:pPr>
        <w:spacing w:line="420" w:lineRule="exact"/>
        <w:rPr>
          <w:rFonts w:ascii="宋体" w:hAnsi="宋体" w:cs="宋体"/>
          <w:b/>
          <w:color w:val="auto"/>
          <w:sz w:val="24"/>
          <w:highlight w:val="none"/>
        </w:rPr>
      </w:pPr>
      <w:r>
        <w:rPr>
          <w:rFonts w:hint="eastAsia" w:ascii="宋体" w:hAnsi="宋体" w:cs="宋体"/>
          <w:b/>
          <w:color w:val="auto"/>
          <w:sz w:val="24"/>
          <w:highlight w:val="none"/>
        </w:rPr>
        <w:t>1.合格磋商供应商</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（3）具有履行合同所必需的专业技术能力；</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4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（6）法律、行政法规规定的其它条件。</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1.1单位负责人为同一人或者存在直接控股、管理关系的不同供应商，不得参加本项目同一合同项下的磋商响应。如果供应商在磋商响应中隐瞒了上述关系，则该磋商响应无效。</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1.2为本采购项目提供整体设计、规范编制或者项目管理、监理、检测等服务的供应商，不得再参加本采购项目的磋商响应</w:t>
      </w:r>
      <w:r>
        <w:rPr>
          <w:rFonts w:hint="eastAsia" w:ascii="宋体" w:hAnsi="宋体" w:cs="宋体"/>
          <w:color w:val="auto"/>
          <w:kern w:val="0"/>
          <w:sz w:val="24"/>
          <w:highlight w:val="none"/>
        </w:rPr>
        <w:t>。</w:t>
      </w:r>
      <w:r>
        <w:rPr>
          <w:rFonts w:hint="eastAsia" w:ascii="宋体" w:hAnsi="宋体" w:cs="宋体"/>
          <w:color w:val="auto"/>
          <w:sz w:val="24"/>
          <w:highlight w:val="none"/>
        </w:rPr>
        <w:t>如果供应商在磋商响应中隐瞒了上述事实，则该磋商响应无效。</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1.3供应商不得直接或间接地与招标采购单位（包括采购代理机构、采购人及用户）有任何关联，亦不得是招标采购单位的附属机构。如果供应商在磋商响应中隐瞒了上述关系，则该磋商响应无效。</w:t>
      </w:r>
    </w:p>
    <w:p>
      <w:pPr>
        <w:spacing w:line="420" w:lineRule="exact"/>
        <w:rPr>
          <w:rFonts w:ascii="宋体" w:hAnsi="宋体" w:cs="宋体"/>
          <w:b/>
          <w:color w:val="auto"/>
          <w:sz w:val="24"/>
          <w:highlight w:val="none"/>
        </w:rPr>
      </w:pPr>
      <w:r>
        <w:rPr>
          <w:rFonts w:hint="eastAsia" w:ascii="宋体" w:hAnsi="宋体" w:cs="宋体"/>
          <w:b/>
          <w:color w:val="auto"/>
          <w:sz w:val="24"/>
          <w:highlight w:val="none"/>
        </w:rPr>
        <w:t>2.磋商委托</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如磋商供应商代表不是法定代表人，须持有《法定代表人授权书》（原件）。</w:t>
      </w:r>
    </w:p>
    <w:p>
      <w:pPr>
        <w:spacing w:line="420" w:lineRule="exact"/>
        <w:rPr>
          <w:rFonts w:ascii="宋体" w:hAnsi="宋体" w:cs="宋体"/>
          <w:b/>
          <w:color w:val="auto"/>
          <w:sz w:val="24"/>
          <w:highlight w:val="none"/>
        </w:rPr>
      </w:pPr>
      <w:r>
        <w:rPr>
          <w:rFonts w:hint="eastAsia" w:ascii="宋体" w:hAnsi="宋体" w:cs="宋体"/>
          <w:b/>
          <w:color w:val="auto"/>
          <w:sz w:val="24"/>
          <w:highlight w:val="none"/>
        </w:rPr>
        <w:t>3.磋商响应文件内容的真实性</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pPr>
        <w:spacing w:line="420" w:lineRule="exact"/>
        <w:rPr>
          <w:rFonts w:ascii="宋体" w:hAnsi="宋体" w:cs="宋体"/>
          <w:color w:val="auto"/>
          <w:sz w:val="24"/>
          <w:highlight w:val="none"/>
        </w:rPr>
      </w:pPr>
      <w:r>
        <w:rPr>
          <w:rFonts w:hint="eastAsia" w:ascii="宋体" w:hAnsi="宋体" w:cs="宋体"/>
          <w:b/>
          <w:color w:val="auto"/>
          <w:sz w:val="24"/>
          <w:highlight w:val="none"/>
        </w:rPr>
        <w:t>4.磋商费用</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无论磋商结果如何，磋商供应商自行承担参加磋商相关的全部费用。</w:t>
      </w:r>
    </w:p>
    <w:p>
      <w:pPr>
        <w:spacing w:line="360" w:lineRule="auto"/>
        <w:rPr>
          <w:rFonts w:ascii="宋体" w:hAnsi="宋体" w:cs="宋体"/>
          <w:b/>
          <w:color w:val="auto"/>
          <w:sz w:val="24"/>
          <w:highlight w:val="none"/>
        </w:rPr>
      </w:pPr>
      <w:bookmarkStart w:id="21" w:name="_Toc27408"/>
      <w:bookmarkStart w:id="22" w:name="_Toc27389"/>
      <w:bookmarkStart w:id="23" w:name="_Toc519156739"/>
      <w:r>
        <w:rPr>
          <w:rFonts w:hint="eastAsia" w:ascii="宋体" w:hAnsi="宋体" w:cs="宋体"/>
          <w:b/>
          <w:color w:val="auto"/>
          <w:sz w:val="24"/>
          <w:highlight w:val="none"/>
        </w:rPr>
        <w:t>5.联合体形式</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5.1　本项目是否接受联合体参与及相关要求见磋商须知前附表。</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5.2　供应商为联合体形式的，应同时遵守以下规定：</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(1)联合体各方必须签订联合体协议书，明确联合体牵头人和各方权利、义务及分工、合同工作量比例；</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(2)联合体各方均应当符合本章第15条规定的供应商基本资格条件；</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(3)除磋商须知前附表中另有规定，联合体各方中至少有一方应当符合本章第15条规定的供应商特定资格条件；</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(4)联合体中有同类资质的供应商按照联合体分工承担相同工作的，应当按照资质等级较低的供应商确定资质等级；</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(5)联合体各方不得再单独或与其他供应商组成新的联合体参加同一项目的采购活动。</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6.项目现场踏勘</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6.1　本项目是否组织现场踏勘见磋商须知前附表。</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6.2　供应商应按磋商须知前附表中规定对采购项目现场和周围环境进行踏勘。供应商未在指定时间进行踏勘的，其踏勘将被拒绝。</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6.3　踏勘现场的费用由供应商自己承担，踏勘期间所发生的人身伤害及财产损失由供应商自己负责。</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6.4　采购人不对供应商据现场踏勘而做出的推论、理解和结论负责。一旦成交，供应商不得以任何借口，提出额外补偿，或延长合同期限的要求。</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7.采购进口产品</w:t>
      </w:r>
    </w:p>
    <w:p>
      <w:pPr>
        <w:pStyle w:val="14"/>
        <w:ind w:firstLine="480" w:firstLineChars="200"/>
        <w:rPr>
          <w:rFonts w:hAnsi="宋体" w:cs="宋体"/>
          <w:color w:val="auto"/>
          <w:sz w:val="24"/>
          <w:szCs w:val="24"/>
          <w:highlight w:val="none"/>
        </w:rPr>
      </w:pPr>
      <w:r>
        <w:rPr>
          <w:rFonts w:hint="eastAsia" w:hAnsi="宋体" w:cs="宋体"/>
          <w:color w:val="auto"/>
          <w:sz w:val="24"/>
          <w:szCs w:val="24"/>
          <w:highlight w:val="none"/>
        </w:rPr>
        <w:t>7.1　本项目是否采购进口产品及相关要求见磋商须知前附表。</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8.政府采购政策支持与其他规定</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　产品属于政府强制采购节能产品范围，必须将是否列入最新一期节能清单作为采购产品的资格条件。本项目的详细要求见磋商须知前附表。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8.2　对列入最新一期节能清单(非强制类)、环保清单内的产品，应分别予以相应的加分或价格扣除；对于同时列入“两个清单”的产品，应当优先于只获得其中一项认证的产品。本项目的详细要求见磋商须知前附表。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8.3　供应商享受支持中小企业发展政策优惠的，可用扣除后的最后报价参与价格比较。本项目价格扣除比例及相关要求见磋商须知前附表。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8.4　监狱企业视同小型、微型企业，享受促进中小企业发展政策优惠，可用扣除后的最后报价参与价格比较。本项目价格扣除比例及相关要求见磋商须知前附表。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磋商须知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8.6　其他法律法规强制性规定。本项目的详细要求见磋商须知前附表。</w:t>
      </w:r>
    </w:p>
    <w:p>
      <w:pPr>
        <w:pStyle w:val="14"/>
        <w:ind w:firstLine="480" w:firstLineChars="200"/>
        <w:rPr>
          <w:rFonts w:hAnsi="宋体" w:cs="宋体"/>
          <w:color w:val="auto"/>
          <w:sz w:val="24"/>
          <w:szCs w:val="24"/>
          <w:highlight w:val="none"/>
        </w:rPr>
      </w:pPr>
    </w:p>
    <w:p>
      <w:pPr>
        <w:spacing w:line="420" w:lineRule="exact"/>
        <w:jc w:val="center"/>
        <w:outlineLvl w:val="1"/>
        <w:rPr>
          <w:rFonts w:ascii="宋体" w:hAnsi="宋体" w:cs="宋体"/>
          <w:color w:val="auto"/>
          <w:sz w:val="32"/>
          <w:szCs w:val="32"/>
          <w:highlight w:val="none"/>
        </w:rPr>
      </w:pPr>
      <w:bookmarkStart w:id="24" w:name="_Toc19177"/>
      <w:r>
        <w:rPr>
          <w:rFonts w:hint="eastAsia" w:ascii="宋体" w:hAnsi="宋体" w:cs="宋体"/>
          <w:b/>
          <w:color w:val="auto"/>
          <w:sz w:val="32"/>
          <w:szCs w:val="32"/>
          <w:highlight w:val="none"/>
        </w:rPr>
        <w:t>三．磋商文件</w:t>
      </w:r>
      <w:bookmarkEnd w:id="21"/>
      <w:bookmarkEnd w:id="22"/>
      <w:bookmarkEnd w:id="23"/>
      <w:bookmarkEnd w:id="24"/>
    </w:p>
    <w:p>
      <w:pPr>
        <w:spacing w:line="360" w:lineRule="auto"/>
        <w:ind w:firstLine="120" w:firstLineChars="50"/>
        <w:rPr>
          <w:rFonts w:ascii="宋体" w:hAnsi="宋体" w:cs="宋体"/>
          <w:b/>
          <w:color w:val="auto"/>
          <w:sz w:val="24"/>
          <w:highlight w:val="none"/>
        </w:rPr>
      </w:pPr>
      <w:bookmarkStart w:id="25" w:name="_Toc1168"/>
      <w:r>
        <w:rPr>
          <w:rFonts w:hint="eastAsia" w:ascii="宋体" w:hAnsi="宋体" w:cs="宋体"/>
          <w:b/>
          <w:color w:val="auto"/>
          <w:sz w:val="24"/>
          <w:highlight w:val="none"/>
        </w:rPr>
        <w:t>9.磋商文件构成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磋商文件要求提供的服务，磋商程序和合同条件在磋商文件中均有说明。磋商文件共六章，内容如下：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第一部分 竞争性磋商公告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第二部分 磋商供应商须知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第三部分 磋商要求及说明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第四部分 商务及合同主要条款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第五部分 竞争性磋商响应文件格式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第六部分 评审办法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9.3本磋商文件的解释权归陕西德仁招标有限公司。</w:t>
      </w:r>
    </w:p>
    <w:p>
      <w:pPr>
        <w:spacing w:line="360" w:lineRule="auto"/>
        <w:rPr>
          <w:rFonts w:ascii="宋体" w:hAnsi="宋体" w:cs="宋体"/>
          <w:color w:val="auto"/>
          <w:highlight w:val="none"/>
        </w:rPr>
      </w:pPr>
      <w:r>
        <w:rPr>
          <w:rFonts w:hint="eastAsia" w:ascii="宋体" w:hAnsi="宋体" w:cs="宋体"/>
          <w:b/>
          <w:color w:val="auto"/>
          <w:sz w:val="24"/>
          <w:highlight w:val="none"/>
        </w:rPr>
        <w:t>10．磋商文件的澄清修改</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r>
        <w:rPr>
          <w:rFonts w:hint="eastAsia" w:ascii="宋体" w:hAnsi="宋体" w:cs="宋体"/>
          <w:b/>
          <w:color w:val="auto"/>
          <w:sz w:val="24"/>
          <w:highlight w:val="none"/>
        </w:rPr>
        <w:t>对磋商文件中有难以理解或参数有疑义的内容，须在规定时间内提交书面资料，否则视为对磋商文件再无疑义，因此带来的一切不利后果由磋商供应商自负。</w:t>
      </w:r>
    </w:p>
    <w:p>
      <w:pPr>
        <w:pStyle w:val="9"/>
        <w:ind w:firstLine="480"/>
        <w:rPr>
          <w:rFonts w:ascii="宋体" w:hAnsi="宋体" w:cs="宋体"/>
          <w:color w:val="auto"/>
          <w:sz w:val="24"/>
          <w:highlight w:val="none"/>
        </w:rPr>
      </w:pPr>
      <w:r>
        <w:rPr>
          <w:rFonts w:hint="eastAsia" w:ascii="宋体" w:hAnsi="宋体" w:cs="宋体"/>
          <w:color w:val="auto"/>
          <w:sz w:val="24"/>
          <w:highlight w:val="none"/>
        </w:rPr>
        <w:t>供应商在收到上述通知后，应立即向招标代理机构回函确认。</w:t>
      </w:r>
    </w:p>
    <w:p>
      <w:pPr>
        <w:spacing w:line="360" w:lineRule="auto"/>
        <w:ind w:firstLine="120" w:firstLineChars="50"/>
        <w:rPr>
          <w:rFonts w:ascii="宋体" w:hAnsi="宋体" w:cs="宋体"/>
          <w:color w:val="auto"/>
          <w:sz w:val="24"/>
          <w:highlight w:val="none"/>
        </w:rPr>
      </w:pPr>
      <w:r>
        <w:rPr>
          <w:rFonts w:hint="eastAsia" w:ascii="宋体" w:hAnsi="宋体" w:cs="宋体"/>
          <w:b/>
          <w:color w:val="auto"/>
          <w:sz w:val="24"/>
          <w:highlight w:val="none"/>
        </w:rPr>
        <w:t>11.磋商文件的购买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磋商供应商必须从采购代理机构购买磋商文件，磋商供应商自行转让或复制的磋商文件视为无效文件；磋商文件一经售出，一律不退，仅作为本次磋商使用。</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12.磋商的处理依据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根据《中华人民共和国政府采购法》和《政府采购竞争性磋商采购方式管理暂行办法》的条款，本着公开、公平、公正的原则进行处理。</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13.解释权归属</w:t>
      </w:r>
    </w:p>
    <w:p>
      <w:pPr>
        <w:spacing w:line="360" w:lineRule="auto"/>
        <w:rPr>
          <w:rFonts w:ascii="宋体" w:hAnsi="宋体" w:cs="宋体"/>
          <w:color w:val="auto"/>
          <w:sz w:val="24"/>
          <w:highlight w:val="none"/>
        </w:rPr>
      </w:pPr>
      <w:bookmarkStart w:id="26" w:name="_Toc3299"/>
      <w:r>
        <w:rPr>
          <w:rFonts w:hint="eastAsia" w:ascii="宋体" w:hAnsi="宋体" w:cs="宋体"/>
          <w:color w:val="auto"/>
          <w:sz w:val="24"/>
          <w:highlight w:val="none"/>
        </w:rPr>
        <w:t>本次磋商文件的解释权归采购代理机构</w:t>
      </w:r>
      <w:bookmarkEnd w:id="26"/>
    </w:p>
    <w:p>
      <w:pPr>
        <w:spacing w:line="420" w:lineRule="exact"/>
        <w:jc w:val="center"/>
        <w:outlineLvl w:val="1"/>
        <w:rPr>
          <w:rFonts w:ascii="宋体" w:hAnsi="宋体" w:cs="宋体"/>
          <w:b/>
          <w:color w:val="auto"/>
          <w:sz w:val="30"/>
          <w:szCs w:val="30"/>
          <w:highlight w:val="none"/>
        </w:rPr>
      </w:pPr>
    </w:p>
    <w:p>
      <w:pPr>
        <w:spacing w:line="420" w:lineRule="exact"/>
        <w:jc w:val="center"/>
        <w:outlineLvl w:val="1"/>
        <w:rPr>
          <w:rFonts w:ascii="宋体" w:hAnsi="宋体" w:cs="宋体"/>
          <w:color w:val="auto"/>
          <w:sz w:val="30"/>
          <w:szCs w:val="30"/>
          <w:highlight w:val="none"/>
        </w:rPr>
      </w:pPr>
      <w:bookmarkStart w:id="27" w:name="_Toc2869"/>
      <w:bookmarkStart w:id="28" w:name="_Toc32022"/>
      <w:r>
        <w:rPr>
          <w:rFonts w:hint="eastAsia" w:ascii="宋体" w:hAnsi="宋体" w:cs="宋体"/>
          <w:b/>
          <w:color w:val="auto"/>
          <w:sz w:val="30"/>
          <w:szCs w:val="30"/>
          <w:highlight w:val="none"/>
        </w:rPr>
        <w:t>四．磋商要求</w:t>
      </w:r>
      <w:bookmarkEnd w:id="25"/>
      <w:bookmarkEnd w:id="27"/>
      <w:bookmarkEnd w:id="28"/>
    </w:p>
    <w:p>
      <w:pPr>
        <w:spacing w:line="360" w:lineRule="auto"/>
        <w:rPr>
          <w:rFonts w:ascii="宋体" w:hAnsi="宋体" w:cs="宋体"/>
          <w:b/>
          <w:color w:val="auto"/>
          <w:highlight w:val="none"/>
        </w:rPr>
      </w:pPr>
      <w:bookmarkStart w:id="29" w:name="_Toc519156741"/>
      <w:bookmarkStart w:id="30" w:name="_Toc24973"/>
      <w:bookmarkStart w:id="31" w:name="_Toc5203"/>
      <w:r>
        <w:rPr>
          <w:rFonts w:hint="eastAsia" w:ascii="宋体" w:hAnsi="宋体" w:cs="宋体"/>
          <w:b/>
          <w:color w:val="auto"/>
          <w:sz w:val="24"/>
          <w:highlight w:val="none"/>
        </w:rPr>
        <w:t>14.磋商语言和磋商货币</w:t>
      </w:r>
    </w:p>
    <w:p>
      <w:pPr>
        <w:kinsoku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14.1供应商提交的磋商响应文件以及供应商与招标代理机构就有关磋商的所有来往函电均应使用中文。</w:t>
      </w:r>
    </w:p>
    <w:p>
      <w:pPr>
        <w:kinsoku w:val="0"/>
        <w:spacing w:line="360" w:lineRule="auto"/>
        <w:ind w:firstLine="480" w:firstLineChars="200"/>
        <w:rPr>
          <w:rFonts w:ascii="宋体" w:hAnsi="宋体" w:cs="宋体"/>
          <w:color w:val="auto"/>
          <w:spacing w:val="-6"/>
          <w:sz w:val="24"/>
          <w:highlight w:val="none"/>
        </w:rPr>
      </w:pPr>
      <w:r>
        <w:rPr>
          <w:rFonts w:hint="eastAsia" w:ascii="宋体" w:hAnsi="宋体" w:cs="宋体"/>
          <w:color w:val="auto"/>
          <w:sz w:val="24"/>
          <w:highlight w:val="none"/>
        </w:rPr>
        <w:t>14.2磋商报价应以人民币报价，任何包含非人民币报价的磋商将按无效磋商处理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本项目不接受联合体磋商。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15.磋商响应文件的构成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15.1供应商提交的磋商响应文件应包括下列部分的内容：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一、磋商函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二、法定代表人身份证明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三、法人授权委托书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四、报价表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五、商务响应说明书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六、项目实施方案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七、无重大违法记录书面声明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八、拒绝商业贿赂承诺书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九、其他资料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15.2 如果在磋商文件中没有允许提供备选方案，则每个供应商只允许提交一个磋商方案，否则，将按无效响磋商处理。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16.磋商报价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16.1磋商报价是指项目达到正常使用条件下的所有费用，包括人员培训费、服务费、招聘费、税费等一切相关费用，以磋商文件的内容和要求作为依据；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16.2磋商供应商应在磋商响应文件中的响应报价表上，标明费用组成；任何有选择的报价不予接受；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16.3磋商货币：人民币；单位：元（精确到小数点后两位）；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16.4响应报价表应有法定代表人或被授权人的签字；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16.5合同价格：经磋商小组确认的某一磋商供应商的最终报价，在合同执行过程中是固定不变的，不受外汇汇率及市场价格变化的影响；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16.6凡因磋商供应商对磋商文件阅读不深、理解不透、误解、疏漏、或因市场行情了解不清造成的后果和风险均由磋商供应商自负；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17.证明供应商合格的资格证明文件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17.1供应商应按照磋商文件“供应商须知前附表”的要求，在磋商响应文件中提交合格的资格证明文件。如果资格证明文件不全或不合格的，将按无效磋商处理。</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18.证明标的物的合格性和符合磋商文件规定的文件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供应商应在磋商响应文件中提供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18.2上述证明文件可以是文字资料、图纸、图片和数据，它包括：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18.2.1服务内容、服务方案、服务期限、付款方式等方面的详细说明；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18.2.2 逐条对磋商文件提出的技术要求和商务要求进行应答，说明所提供的服务对磋商的技术和商务要求是否做出了实质性响应并提供支持文件。</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19.磋商保证金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19.1保证金是用于保护本次磋商免受磋商供应商的行为而引起的风险。</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19.2磋商保证金由磋商供应商通过银行转账、电汇、保函等非现金形式缴纳。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19.3未交纳、未足额交纳或未按规定时间交纳保证金的，将被视为自动放弃磋商权利。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19.4提交保证金后，各磋商供应商须将其交纳保证金凭证复印件加盖供应商红章附在磋商响应文件中，否则视为无效响应文件。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19.5磋商保证金退还:</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A. 未成交供应商：成交通知书发放后5个工作日退还，需提供开户许可证复印件； </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B. 成交供应商：成交供应商与采购单位签订合同并缴纳足额成交服务费后退还；（退还时，须向代理机构提供开户许可证复印件及合同原件壹份并加盖供应商公章）；</w:t>
      </w:r>
    </w:p>
    <w:p>
      <w:pPr>
        <w:spacing w:line="420" w:lineRule="exact"/>
        <w:ind w:firstLine="482" w:firstLineChars="200"/>
        <w:rPr>
          <w:rFonts w:ascii="宋体" w:hAnsi="宋体" w:cs="宋体"/>
          <w:color w:val="auto"/>
          <w:highlight w:val="none"/>
        </w:rPr>
      </w:pPr>
      <w:r>
        <w:rPr>
          <w:rFonts w:hint="eastAsia" w:ascii="宋体" w:hAnsi="宋体" w:cs="宋体"/>
          <w:b/>
          <w:color w:val="auto"/>
          <w:sz w:val="24"/>
          <w:highlight w:val="none"/>
        </w:rPr>
        <w:t>以上供应商自身原因导致无法退还的除外。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19.6 供应商以担保机构保函形式交纳磋商保证金的，磋商结束之后</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用收据原件在代理机构财务室换取担保机构保函原件（退还保证金参照19.5条款）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19.7发生下列情况之一，磋商保证金将不予退还：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19.7.1供应商在递交磋商响应文件截止时间后，撤回磋商响应文件的或者擅自退出磋商活动的。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19.7.2供应商成交后放弃成交或未能按规定签订合同、无正当理由不与采购人签订合同的或未能按规定交纳招标代理服务费或由于供应商的原因导致成交无效的。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19.7.3将成交项目转让给他人，或者在磋商响应文件中未说明，且未经采购人和招标代理机构同意，将成交项目分包给他人的。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19.7.4供应商在磋商响应文件中提供伪造、套改、虚假资料参与磋商的。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19.7.5供应商不按法定程序进行质疑和投诉,捏造事实，查无实据，造成恶劣影响，导致采购活动无法正常进行的;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19.7.6供应商在磋商响应文件中提供虚假材料的；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19.7.7磋商文件规定的其他情形。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19.8联合磋商的，可以由联合体中的主体提交磋商保证金，以一方名义提交磋商保证金，对联合体各方均具有约束力；</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20.磋商响应文件的有效期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21、磋商响应文件的签署及规定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21.1磋商供应商须依据磋商文件内容和磋商响应文件格式的要求编制磋商响应文件；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21.2磋商响应文件的正本和所有的副本均需打印或用不褪色的蓝（黑）墨水填写，注明“正本”“副本”字样。统一胶装、编码，在每一页的正下方清楚标明页码等字样；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磋商响应文件份数，本次磋商需提交磋商响应文件共肆份，其中正本壹份，副本贰份，电子版磋商响应文件（U盘或移动硬盘，谢绝光盘）壹份；在封面标明“正本”、“副本”及“电子版磋商响应文件”字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21.4磋商供应商在磋商响应文件中指定的页面落款处，必须按磋商文件要求加盖印章或签字；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21.5磋商供应商名称应填写全称，同时加盖公章；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21.6磋商响应文件的任何行间插字、涂改和增删，必须由法定代表人或被授权人在改动处旁签字方为有效；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21.7磋商响应文件因字迹潦草或表达不清所引起的后果由磋商供应商负责。</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22.文字要求</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本次磋商只接受简体中文文字的磋商响应文件。</w:t>
      </w:r>
    </w:p>
    <w:p>
      <w:pPr>
        <w:pStyle w:val="11"/>
        <w:rPr>
          <w:color w:val="auto"/>
          <w:highlight w:val="none"/>
        </w:rPr>
      </w:pPr>
    </w:p>
    <w:p>
      <w:pPr>
        <w:spacing w:line="420" w:lineRule="exact"/>
        <w:jc w:val="center"/>
        <w:outlineLvl w:val="1"/>
        <w:rPr>
          <w:rFonts w:ascii="宋体" w:hAnsi="宋体" w:cs="宋体"/>
          <w:b/>
          <w:color w:val="auto"/>
          <w:sz w:val="30"/>
          <w:szCs w:val="30"/>
          <w:highlight w:val="none"/>
        </w:rPr>
      </w:pPr>
      <w:bookmarkStart w:id="32" w:name="_Toc13940"/>
      <w:r>
        <w:rPr>
          <w:rFonts w:hint="eastAsia" w:ascii="宋体" w:hAnsi="宋体" w:cs="宋体"/>
          <w:b/>
          <w:color w:val="auto"/>
          <w:sz w:val="30"/>
          <w:szCs w:val="30"/>
          <w:highlight w:val="none"/>
        </w:rPr>
        <w:t>五．磋商响应文件封装、递交</w:t>
      </w:r>
      <w:bookmarkEnd w:id="29"/>
      <w:bookmarkEnd w:id="30"/>
      <w:bookmarkEnd w:id="31"/>
      <w:bookmarkEnd w:id="32"/>
    </w:p>
    <w:p>
      <w:pPr>
        <w:pStyle w:val="11"/>
        <w:rPr>
          <w:color w:val="auto"/>
          <w:highlight w:val="none"/>
        </w:rPr>
      </w:pPr>
    </w:p>
    <w:p>
      <w:pPr>
        <w:spacing w:line="360" w:lineRule="auto"/>
        <w:ind w:firstLine="120" w:firstLineChars="50"/>
        <w:rPr>
          <w:rFonts w:ascii="宋体" w:hAnsi="宋体" w:cs="宋体"/>
          <w:b/>
          <w:color w:val="auto"/>
          <w:sz w:val="24"/>
          <w:highlight w:val="none"/>
        </w:rPr>
      </w:pPr>
      <w:bookmarkStart w:id="33" w:name="_Toc519156746"/>
      <w:bookmarkStart w:id="34" w:name="_Toc26143"/>
      <w:bookmarkStart w:id="35" w:name="_Toc29597"/>
      <w:r>
        <w:rPr>
          <w:rFonts w:hint="eastAsia" w:ascii="宋体" w:hAnsi="宋体" w:cs="宋体"/>
          <w:b/>
          <w:color w:val="auto"/>
          <w:sz w:val="24"/>
          <w:highlight w:val="none"/>
        </w:rPr>
        <w:t>23.磋商响应文件的封装及标记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w:t>
      </w:r>
      <w:r>
        <w:rPr>
          <w:rFonts w:hint="eastAsia" w:ascii="宋体" w:hAnsi="宋体" w:cs="宋体"/>
          <w:color w:val="auto"/>
          <w:spacing w:val="6"/>
          <w:sz w:val="24"/>
          <w:highlight w:val="none"/>
        </w:rPr>
        <w:t>磋商</w:t>
      </w:r>
      <w:r>
        <w:rPr>
          <w:rFonts w:hint="eastAsia" w:ascii="宋体" w:hAnsi="宋体" w:cs="宋体"/>
          <w:color w:val="auto"/>
          <w:sz w:val="24"/>
          <w:highlight w:val="none"/>
        </w:rPr>
        <w:t>响应</w:t>
      </w:r>
      <w:r>
        <w:rPr>
          <w:rFonts w:hint="eastAsia" w:ascii="宋体" w:hAnsi="宋体" w:cs="宋体"/>
          <w:color w:val="auto"/>
          <w:spacing w:val="6"/>
          <w:sz w:val="24"/>
          <w:highlight w:val="none"/>
        </w:rPr>
        <w:t>文件</w:t>
      </w:r>
      <w:r>
        <w:rPr>
          <w:rFonts w:hint="eastAsia" w:ascii="宋体" w:hAnsi="宋体" w:cs="宋体"/>
          <w:color w:val="auto"/>
          <w:sz w:val="24"/>
          <w:highlight w:val="none"/>
        </w:rPr>
        <w:t>应按以下要求封装：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23.1.1</w:t>
      </w:r>
      <w:r>
        <w:rPr>
          <w:rFonts w:hint="eastAsia" w:ascii="宋体" w:hAnsi="宋体" w:cs="宋体"/>
          <w:color w:val="auto"/>
          <w:spacing w:val="6"/>
          <w:sz w:val="24"/>
          <w:highlight w:val="none"/>
        </w:rPr>
        <w:t>磋商供应商</w:t>
      </w:r>
      <w:r>
        <w:rPr>
          <w:rFonts w:hint="eastAsia" w:ascii="宋体" w:hAnsi="宋体" w:cs="宋体"/>
          <w:color w:val="auto"/>
          <w:sz w:val="24"/>
          <w:highlight w:val="none"/>
        </w:rPr>
        <w:t>应将</w:t>
      </w:r>
      <w:r>
        <w:rPr>
          <w:rFonts w:hint="eastAsia" w:ascii="宋体" w:hAnsi="宋体" w:cs="宋体"/>
          <w:color w:val="auto"/>
          <w:spacing w:val="6"/>
          <w:sz w:val="24"/>
          <w:highlight w:val="none"/>
        </w:rPr>
        <w:t>磋商响应文件</w:t>
      </w:r>
      <w:r>
        <w:rPr>
          <w:rFonts w:hint="eastAsia" w:ascii="宋体" w:hAnsi="宋体" w:cs="宋体"/>
          <w:color w:val="auto"/>
          <w:sz w:val="24"/>
          <w:highlight w:val="none"/>
        </w:rPr>
        <w:t>的正本、副本、电子版标书（U盘），</w:t>
      </w:r>
      <w:r>
        <w:rPr>
          <w:rFonts w:hint="eastAsia" w:ascii="宋体" w:hAnsi="宋体" w:cs="宋体"/>
          <w:b/>
          <w:bCs/>
          <w:color w:val="auto"/>
          <w:sz w:val="24"/>
          <w:highlight w:val="none"/>
        </w:rPr>
        <w:t>用单独的封袋分装密封</w:t>
      </w:r>
      <w:r>
        <w:rPr>
          <w:rFonts w:hint="eastAsia" w:ascii="宋体" w:hAnsi="宋体" w:cs="宋体"/>
          <w:color w:val="auto"/>
          <w:sz w:val="24"/>
          <w:highlight w:val="none"/>
        </w:rPr>
        <w:t>（封袋不得有破损），在封袋上标明“正本”或“副本”及“电子版磋商响应文件”字样，封线处加盖</w:t>
      </w:r>
      <w:r>
        <w:rPr>
          <w:rFonts w:hint="eastAsia" w:ascii="宋体" w:hAnsi="宋体" w:cs="宋体"/>
          <w:color w:val="auto"/>
          <w:spacing w:val="6"/>
          <w:sz w:val="24"/>
          <w:highlight w:val="none"/>
        </w:rPr>
        <w:t>磋商供应商</w:t>
      </w:r>
      <w:r>
        <w:rPr>
          <w:rFonts w:hint="eastAsia" w:ascii="宋体" w:hAnsi="宋体" w:cs="宋体"/>
          <w:color w:val="auto"/>
          <w:sz w:val="24"/>
          <w:highlight w:val="none"/>
        </w:rPr>
        <w:t>公章，封袋正面要粘贴标识。磋商响应文件中资质证明文件为复印件加盖磋商供应商公章；</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23.2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pPr>
        <w:spacing w:line="360" w:lineRule="auto"/>
        <w:ind w:firstLine="120" w:firstLineChars="50"/>
        <w:rPr>
          <w:rFonts w:ascii="宋体" w:hAnsi="宋体" w:cs="宋体"/>
          <w:color w:val="auto"/>
          <w:sz w:val="24"/>
          <w:highlight w:val="none"/>
        </w:rPr>
      </w:pPr>
      <w:r>
        <w:rPr>
          <w:rFonts w:hint="eastAsia" w:ascii="宋体" w:hAnsi="宋体" w:cs="宋体"/>
          <w:b/>
          <w:color w:val="auto"/>
          <w:sz w:val="24"/>
          <w:highlight w:val="none"/>
        </w:rPr>
        <w:t>24.磋商响应文件递交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24.1磋商供应商必须在磋商文件规定的时间和地点，将全部磋商响应文件递交至采购代理机构项目接收人处；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24.2采购代理机构项目接收人在磋商文件规定的磋商响应文件递交截止时间前，只负责磋商响应文件的接收、清点、造册登记工作，并请法定代表人或被授权人签字确认，对其有效性不负任何责任；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24.3采购代理机构在宣布递交磋商响应文件时间截止之后，拒绝接收任何人送达、递交的磋商响应文件；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24.4以邮寄方式递交磋商响应文件的，其磋商响应文件将按照无效处理。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24.5无论磋商供应商成交与否或者废标，其磋商响应文件恕不退还。</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25.磋商响应文件递交截止时间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25.1磋商供应商</w:t>
      </w:r>
      <w:r>
        <w:rPr>
          <w:rFonts w:hint="eastAsia" w:ascii="宋体" w:hAnsi="宋体" w:cs="宋体"/>
          <w:color w:val="auto"/>
          <w:spacing w:val="6"/>
          <w:sz w:val="24"/>
          <w:highlight w:val="none"/>
        </w:rPr>
        <w:t>必须在磋商文件规定的递交截止时间之前递交磋商响应文件，</w:t>
      </w:r>
      <w:r>
        <w:rPr>
          <w:rFonts w:hint="eastAsia" w:ascii="宋体" w:hAnsi="宋体" w:cs="宋体"/>
          <w:color w:val="auto"/>
          <w:sz w:val="24"/>
          <w:highlight w:val="none"/>
        </w:rPr>
        <w:t>采购代理机构在截止时间后拒绝接收任何磋商响应文件。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25.2采购代理机构因采购人推迟磋商截止时间时，应以书面（或传真）的形式，通知所有磋商供应商；在这种情况下，采购代理机构和磋商供应商的权利和义务将受到新的截止期的约束。</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26.磋商响应文件的修改和撤回</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26.1磋商响应文件递交后，如果磋商供应商提出书面修改和撤回磋商响应文件要求，在磋商截止时间前以书面形式送达采购代理机构；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26.2磋商供应商修改磋商响应文件的书面材料，须密封送达采购代理机构，修改或补充的内容应按磋商文件要求签署、盖章、密封、标记，并作为磋商响应文件的组成部分；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26.4在磋商截止时间后到磋商文件规定的磋商有效期满之间的这段时间内，磋商供应商不得撤回其磋商响应文件；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26.5磋商供应商在磋商响应文件递交截止时间后，不得对其磋商响应文件做任何修改。</w:t>
      </w:r>
    </w:p>
    <w:p>
      <w:pPr>
        <w:pStyle w:val="17"/>
        <w:rPr>
          <w:rFonts w:ascii="宋体" w:hAnsi="宋体" w:cs="宋体"/>
          <w:color w:val="auto"/>
          <w:highlight w:val="none"/>
        </w:rPr>
      </w:pPr>
    </w:p>
    <w:p>
      <w:pPr>
        <w:pStyle w:val="4"/>
        <w:rPr>
          <w:rFonts w:ascii="宋体" w:hAnsi="宋体" w:cs="宋体"/>
          <w:color w:val="auto"/>
          <w:sz w:val="32"/>
          <w:highlight w:val="none"/>
        </w:rPr>
      </w:pPr>
      <w:bookmarkStart w:id="36" w:name="_Toc519156742"/>
      <w:bookmarkStart w:id="37" w:name="_Toc32447"/>
      <w:bookmarkStart w:id="38" w:name="_Toc29321"/>
      <w:bookmarkStart w:id="39" w:name="_Toc25686"/>
      <w:bookmarkStart w:id="40" w:name="_Toc24093"/>
      <w:r>
        <w:rPr>
          <w:rFonts w:hint="eastAsia" w:ascii="宋体" w:hAnsi="宋体" w:cs="宋体"/>
          <w:color w:val="auto"/>
          <w:sz w:val="32"/>
          <w:highlight w:val="none"/>
        </w:rPr>
        <w:t>六．</w:t>
      </w:r>
      <w:bookmarkEnd w:id="36"/>
      <w:bookmarkEnd w:id="37"/>
      <w:bookmarkEnd w:id="38"/>
      <w:r>
        <w:rPr>
          <w:rFonts w:hint="eastAsia" w:ascii="宋体" w:hAnsi="宋体" w:cs="宋体"/>
          <w:color w:val="auto"/>
          <w:sz w:val="32"/>
          <w:highlight w:val="none"/>
        </w:rPr>
        <w:t>磋商与评审</w:t>
      </w:r>
      <w:bookmarkEnd w:id="39"/>
      <w:bookmarkEnd w:id="40"/>
    </w:p>
    <w:p>
      <w:pPr>
        <w:spacing w:line="360" w:lineRule="auto"/>
        <w:ind w:firstLine="120" w:firstLineChars="50"/>
        <w:rPr>
          <w:rFonts w:ascii="宋体" w:hAnsi="宋体" w:cs="宋体"/>
          <w:b/>
          <w:color w:val="auto"/>
          <w:sz w:val="24"/>
          <w:highlight w:val="none"/>
        </w:rPr>
      </w:pPr>
      <w:bookmarkStart w:id="41" w:name="_Toc519156743"/>
      <w:bookmarkStart w:id="42" w:name="_Toc21838"/>
      <w:bookmarkStart w:id="43" w:name="_Toc6759"/>
      <w:r>
        <w:rPr>
          <w:rFonts w:hint="eastAsia" w:ascii="宋体" w:hAnsi="宋体" w:cs="宋体"/>
          <w:b/>
          <w:color w:val="auto"/>
          <w:sz w:val="24"/>
          <w:highlight w:val="none"/>
        </w:rPr>
        <w:t>27.磋商小组和磋商评审原则</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27.1按照《</w:t>
      </w:r>
      <w:r>
        <w:rPr>
          <w:rFonts w:hint="eastAsia" w:ascii="宋体" w:hAnsi="宋体" w:cs="宋体"/>
          <w:color w:val="auto"/>
          <w:sz w:val="24"/>
          <w:highlight w:val="none"/>
        </w:rPr>
        <w:t>中华人民共和国</w:t>
      </w:r>
      <w:r>
        <w:rPr>
          <w:rFonts w:hint="eastAsia" w:ascii="宋体" w:hAnsi="宋体" w:cs="宋体"/>
          <w:bCs/>
          <w:color w:val="auto"/>
          <w:sz w:val="24"/>
          <w:highlight w:val="none"/>
        </w:rPr>
        <w:t>政府采购法》、中华人民共和国2015年第658号国务院令--《中华人民共和国政府采购法实施条例》和中华人民共和国财政部财库[2014]214号《政府采购竞争性磋商采购方式管理暂行办法》的规定，采购机构将依法组建竞争性磋商小组，依法进行磋商和评审工作。</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27.2磋商文件和报价人的响应文件是评审的依据。</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28.磋商及评审程序</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28.1采购代理</w:t>
      </w:r>
      <w:r>
        <w:rPr>
          <w:rFonts w:hint="eastAsia" w:ascii="宋体" w:hAnsi="宋体" w:cs="宋体"/>
          <w:color w:val="auto"/>
          <w:sz w:val="24"/>
          <w:highlight w:val="none"/>
        </w:rPr>
        <w:t>机构</w:t>
      </w:r>
      <w:r>
        <w:rPr>
          <w:rFonts w:hint="eastAsia" w:ascii="宋体" w:hAnsi="宋体" w:cs="宋体"/>
          <w:bCs/>
          <w:color w:val="auto"/>
          <w:sz w:val="24"/>
          <w:highlight w:val="none"/>
        </w:rPr>
        <w:t>在规定的时间和地点组织磋商。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28.2本次磋商的报价次数、磋商程序和最终报价的产生原则见“磋商须知前附表”的规定。</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28.3磋商开始后，磋商小组首先对响应文件进行评审，并根据磋商文件规定的程序、评定成交的标准等事项与实质性响应磋商文件要求的报价人进行磋商。未实质性响应磋商文件的响应文件按无效处理，磋商小组将告知有关报价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28.4磋商小组所有成员集中与单一报价人分别进行磋商，并给予所有参加磋商的报价人平等的磋商机会。</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28.5在磋商过程中，磋商小组可以根据磋商文件和磋商情况实质性变动采购需求中的技术、服务要求以及合同草案条款。所有变动内容均是磋商文件的有效组成部分，磋商小组将以书面形式同时通知所有参加磋商的报价人。</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28.6参加磋商的报价人应当按照磋商文件的变动情况和磋商小组的要求重新提交响应文件，并由其法定代表人或授权代表签字或者加盖公章。由授权代表签字的，应当附法定代表人授权书。报价人为自然人的，应当由本人签字并附身份证明。</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28.7磋商结束后，磋商小组要求所有继续参加磋商的报价人在规定时间内提交最后报价，最后报价是报价人响应文件的有效组成部分。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28.8已提交响应文件的报价人，在提交最后报价之前，可以根据磋商情况退出磋商。采购机构将退还退出磋商的报价人的保证金。</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29.评审过程的保密</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29.1竞争性</w:t>
      </w:r>
      <w:r>
        <w:rPr>
          <w:rFonts w:hint="eastAsia" w:ascii="宋体" w:hAnsi="宋体" w:cs="宋体"/>
          <w:color w:val="auto"/>
          <w:sz w:val="24"/>
          <w:highlight w:val="none"/>
        </w:rPr>
        <w:t>磋商</w:t>
      </w:r>
      <w:r>
        <w:rPr>
          <w:rFonts w:hint="eastAsia" w:ascii="宋体" w:hAnsi="宋体" w:cs="宋体"/>
          <w:bCs/>
          <w:color w:val="auto"/>
          <w:sz w:val="24"/>
          <w:highlight w:val="none"/>
        </w:rPr>
        <w:t>小组成员和与评审活动有关的工作人员不得泄露有关磋商响应文件的评审和比较、成交候选人的推荐以及与评审有关的其他情况。</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29.2在评审过程中，如果磋商报价人试图在磋商响应文件的评审和比较、成交候选人的推荐以及与评审有关的其他方面，向磋商小组、采购人和采购代理机构施加任何影响，其磋商响应文件将按照无效处理。</w:t>
      </w:r>
    </w:p>
    <w:p>
      <w:pPr>
        <w:spacing w:line="360" w:lineRule="auto"/>
        <w:ind w:firstLine="120" w:firstLineChars="50"/>
        <w:rPr>
          <w:rFonts w:ascii="宋体" w:hAnsi="宋体" w:cs="宋体"/>
          <w:b/>
          <w:color w:val="auto"/>
          <w:sz w:val="24"/>
          <w:highlight w:val="none"/>
        </w:rPr>
      </w:pPr>
      <w:r>
        <w:rPr>
          <w:rFonts w:hint="eastAsia" w:ascii="宋体" w:hAnsi="宋体" w:cs="宋体"/>
          <w:b/>
          <w:color w:val="auto"/>
          <w:sz w:val="24"/>
          <w:highlight w:val="none"/>
        </w:rPr>
        <w:t>30．评审方法</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按照</w:t>
      </w:r>
      <w:r>
        <w:rPr>
          <w:rFonts w:hint="eastAsia" w:ascii="宋体" w:hAnsi="宋体" w:cs="宋体"/>
          <w:color w:val="auto"/>
          <w:sz w:val="24"/>
          <w:highlight w:val="none"/>
        </w:rPr>
        <w:t>中华人民共和国</w:t>
      </w:r>
      <w:r>
        <w:rPr>
          <w:rFonts w:hint="eastAsia" w:ascii="宋体" w:hAnsi="宋体" w:cs="宋体"/>
          <w:bCs/>
          <w:color w:val="auto"/>
          <w:sz w:val="24"/>
          <w:highlight w:val="none"/>
        </w:rPr>
        <w:t>财政部财库[2014]214号《政府采购竞争性磋商采购方式管理暂行办法》的规定，磋商小组根据综合评分情况，按照评审得分由高到低顺序推荐3名成交候选供应商。</w:t>
      </w:r>
    </w:p>
    <w:p>
      <w:pPr>
        <w:pStyle w:val="17"/>
        <w:rPr>
          <w:rFonts w:ascii="宋体" w:hAnsi="宋体" w:cs="宋体"/>
          <w:color w:val="auto"/>
          <w:highlight w:val="none"/>
        </w:rPr>
      </w:pPr>
    </w:p>
    <w:p>
      <w:pPr>
        <w:pStyle w:val="4"/>
        <w:rPr>
          <w:rFonts w:ascii="宋体" w:hAnsi="宋体" w:cs="宋体"/>
          <w:color w:val="auto"/>
          <w:sz w:val="32"/>
          <w:highlight w:val="none"/>
        </w:rPr>
      </w:pPr>
      <w:bookmarkStart w:id="44" w:name="_Toc3122"/>
      <w:bookmarkStart w:id="45" w:name="_Toc12204"/>
      <w:r>
        <w:rPr>
          <w:rFonts w:hint="eastAsia" w:ascii="宋体" w:hAnsi="宋体" w:cs="宋体"/>
          <w:color w:val="auto"/>
          <w:sz w:val="32"/>
          <w:highlight w:val="none"/>
        </w:rPr>
        <w:t>七.确定成交人、成交通知与签约</w:t>
      </w:r>
      <w:bookmarkEnd w:id="41"/>
      <w:bookmarkEnd w:id="42"/>
      <w:bookmarkEnd w:id="43"/>
      <w:bookmarkEnd w:id="44"/>
      <w:bookmarkEnd w:id="45"/>
    </w:p>
    <w:p>
      <w:pPr>
        <w:spacing w:line="420" w:lineRule="exact"/>
        <w:rPr>
          <w:rFonts w:ascii="宋体" w:hAnsi="宋体" w:cs="宋体"/>
          <w:b/>
          <w:color w:val="auto"/>
          <w:sz w:val="24"/>
          <w:highlight w:val="none"/>
        </w:rPr>
      </w:pPr>
      <w:bookmarkStart w:id="46" w:name="_Toc23113"/>
      <w:bookmarkStart w:id="47" w:name="_Toc19721"/>
      <w:bookmarkStart w:id="48" w:name="_Toc519156744"/>
      <w:r>
        <w:rPr>
          <w:rFonts w:hint="eastAsia" w:ascii="宋体" w:hAnsi="宋体" w:cs="宋体"/>
          <w:b/>
          <w:color w:val="auto"/>
          <w:sz w:val="24"/>
          <w:highlight w:val="none"/>
        </w:rPr>
        <w:t>31．确定成交人</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31.1采购代理机构应在评审结束之日起2个工作日内将评审报告送采购人确认。</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31.2采购人应当在收到评审报告之日起5个工作日内，从评审报告提出的成交候选供应商中，按照排序由高到低的原则确定成交供应商。</w:t>
      </w:r>
    </w:p>
    <w:p>
      <w:pPr>
        <w:spacing w:line="420" w:lineRule="exact"/>
        <w:rPr>
          <w:rFonts w:ascii="宋体" w:hAnsi="宋体" w:cs="宋体"/>
          <w:b/>
          <w:color w:val="auto"/>
          <w:sz w:val="24"/>
          <w:highlight w:val="none"/>
        </w:rPr>
      </w:pPr>
      <w:r>
        <w:rPr>
          <w:rFonts w:hint="eastAsia" w:ascii="宋体" w:hAnsi="宋体" w:cs="宋体"/>
          <w:b/>
          <w:color w:val="auto"/>
          <w:sz w:val="24"/>
          <w:highlight w:val="none"/>
        </w:rPr>
        <w:t>32．成交通知</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32.1 成交供应商确定之后，代理公司将发出《成交通知书》。 </w:t>
      </w:r>
    </w:p>
    <w:p>
      <w:pP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32.2成交通知书对采购人和成交供应商具有同等法律效力。成交通知书发出之后，采购人改变成交结果，或者成交供应商放弃成交，应当承担相应的法律责任。</w:t>
      </w:r>
    </w:p>
    <w:p>
      <w:pPr>
        <w:spacing w:line="420" w:lineRule="exact"/>
        <w:rPr>
          <w:rFonts w:ascii="宋体" w:hAnsi="宋体" w:cs="宋体"/>
          <w:b/>
          <w:color w:val="auto"/>
          <w:sz w:val="24"/>
          <w:highlight w:val="none"/>
        </w:rPr>
      </w:pPr>
      <w:r>
        <w:rPr>
          <w:rFonts w:hint="eastAsia" w:ascii="宋体" w:hAnsi="宋体" w:cs="宋体"/>
          <w:b/>
          <w:color w:val="auto"/>
          <w:sz w:val="24"/>
          <w:highlight w:val="none"/>
        </w:rPr>
        <w:t>33．签订合同</w:t>
      </w:r>
    </w:p>
    <w:p>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33.1磋商文件、成交供应商响应文件及补充文件等均为签订政府采购合同依据。</w:t>
      </w:r>
    </w:p>
    <w:p>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33.2成交供应商应在成交通知书发出之日起30日内与采购人签订政府采购合同。</w:t>
      </w:r>
    </w:p>
    <w:p>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33.3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w:t>
      </w:r>
    </w:p>
    <w:p>
      <w:pPr>
        <w:spacing w:line="42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33.4自政府采购合同签订之日起2个工作日内，本项目政府采购合同在磋商须知前附表规定的媒体上公告，但政府采购合同中涉及国家秘密、商业秘密的内容除外。</w:t>
      </w:r>
    </w:p>
    <w:p>
      <w:pPr>
        <w:spacing w:line="420" w:lineRule="exact"/>
        <w:rPr>
          <w:rFonts w:ascii="宋体" w:hAnsi="宋体" w:cs="宋体"/>
          <w:b/>
          <w:color w:val="auto"/>
          <w:sz w:val="24"/>
          <w:highlight w:val="none"/>
        </w:rPr>
      </w:pPr>
      <w:r>
        <w:rPr>
          <w:rFonts w:hint="eastAsia" w:ascii="宋体" w:hAnsi="宋体" w:cs="宋体"/>
          <w:b/>
          <w:color w:val="auto"/>
          <w:sz w:val="24"/>
          <w:highlight w:val="none"/>
        </w:rPr>
        <w:t>34．成交合同的履约验收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采购人按照政府采购合同规定的技术、服务、安全标准组织对供应商履约情况进行验收，并出具验收书。验收书应当包括每一项技术、服务、安全标准的履约情况。</w:t>
      </w:r>
    </w:p>
    <w:p>
      <w:pPr>
        <w:pStyle w:val="17"/>
        <w:rPr>
          <w:rFonts w:ascii="宋体" w:hAnsi="宋体" w:cs="宋体"/>
          <w:color w:val="auto"/>
          <w:highlight w:val="none"/>
        </w:rPr>
      </w:pPr>
    </w:p>
    <w:p>
      <w:pPr>
        <w:spacing w:line="360" w:lineRule="auto"/>
        <w:jc w:val="center"/>
        <w:outlineLvl w:val="1"/>
        <w:rPr>
          <w:rFonts w:ascii="宋体" w:hAnsi="宋体" w:cs="宋体"/>
          <w:color w:val="auto"/>
          <w:sz w:val="24"/>
          <w:highlight w:val="none"/>
        </w:rPr>
      </w:pPr>
      <w:bookmarkStart w:id="49" w:name="_Toc26087"/>
      <w:r>
        <w:rPr>
          <w:rFonts w:hint="eastAsia" w:ascii="宋体" w:hAnsi="宋体" w:cs="宋体"/>
          <w:b/>
          <w:bCs/>
          <w:color w:val="auto"/>
          <w:sz w:val="32"/>
          <w:szCs w:val="32"/>
          <w:highlight w:val="none"/>
        </w:rPr>
        <w:t>八、其他事项</w:t>
      </w:r>
      <w:bookmarkEnd w:id="46"/>
      <w:bookmarkEnd w:id="47"/>
      <w:bookmarkEnd w:id="48"/>
      <w:bookmarkEnd w:id="49"/>
    </w:p>
    <w:p>
      <w:pPr>
        <w:spacing w:line="360" w:lineRule="auto"/>
        <w:rPr>
          <w:rFonts w:ascii="宋体" w:hAnsi="宋体" w:cs="宋体"/>
          <w:color w:val="auto"/>
          <w:sz w:val="24"/>
          <w:highlight w:val="none"/>
        </w:rPr>
      </w:pPr>
      <w:r>
        <w:rPr>
          <w:rFonts w:hint="eastAsia" w:ascii="宋体" w:hAnsi="宋体" w:cs="宋体"/>
          <w:b/>
          <w:bCs/>
          <w:color w:val="auto"/>
          <w:sz w:val="24"/>
          <w:highlight w:val="none"/>
        </w:rPr>
        <w:t>35.竞争性磋商项目实行二轮报价</w:t>
      </w:r>
      <w:r>
        <w:rPr>
          <w:rFonts w:hint="eastAsia" w:ascii="宋体" w:hAnsi="宋体" w:cs="宋体"/>
          <w:color w:val="auto"/>
          <w:sz w:val="24"/>
          <w:highlight w:val="none"/>
        </w:rPr>
        <w:t>，第一次报价后，磋商小组可以变更采购需求中的技术、服务要求以及合同草案条款，二轮报价为最终报价。</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36.磋商开始后，出现下列情形之一的，采购代理机构将终止竞争性磋商采购活动，发布项目终止公告并说明原因，重新开展采购活动：</w:t>
      </w:r>
    </w:p>
    <w:p>
      <w:pPr>
        <w:spacing w:line="360" w:lineRule="auto"/>
        <w:rPr>
          <w:rFonts w:ascii="宋体" w:hAnsi="宋体" w:cs="宋体"/>
          <w:color w:val="auto"/>
          <w:sz w:val="24"/>
          <w:highlight w:val="none"/>
        </w:rPr>
      </w:pPr>
      <w:r>
        <w:rPr>
          <w:rFonts w:hint="eastAsia" w:ascii="宋体" w:hAnsi="宋体" w:cs="宋体"/>
          <w:color w:val="auto"/>
          <w:sz w:val="24"/>
          <w:highlight w:val="none"/>
        </w:rPr>
        <w:t>（一）因情况变化，不再符合规定的竞争性磋商采购方式适用情形的；</w:t>
      </w:r>
    </w:p>
    <w:p>
      <w:pPr>
        <w:spacing w:line="360" w:lineRule="auto"/>
        <w:rPr>
          <w:rFonts w:ascii="宋体" w:hAnsi="宋体" w:cs="宋体"/>
          <w:color w:val="auto"/>
          <w:sz w:val="24"/>
          <w:highlight w:val="none"/>
        </w:rPr>
      </w:pPr>
      <w:r>
        <w:rPr>
          <w:rFonts w:hint="eastAsia" w:ascii="宋体" w:hAnsi="宋体" w:cs="宋体"/>
          <w:color w:val="auto"/>
          <w:sz w:val="24"/>
          <w:highlight w:val="none"/>
        </w:rPr>
        <w:t>（二）出现影响采购公正的违法、违规行为的；</w:t>
      </w:r>
    </w:p>
    <w:p>
      <w:pPr>
        <w:spacing w:line="360" w:lineRule="auto"/>
        <w:rPr>
          <w:rFonts w:ascii="宋体" w:hAnsi="宋体" w:cs="宋体"/>
          <w:color w:val="auto"/>
          <w:sz w:val="24"/>
          <w:highlight w:val="none"/>
        </w:rPr>
      </w:pPr>
      <w:r>
        <w:rPr>
          <w:rFonts w:hint="eastAsia" w:ascii="宋体" w:hAnsi="宋体" w:cs="宋体"/>
          <w:color w:val="auto"/>
          <w:sz w:val="24"/>
          <w:highlight w:val="none"/>
        </w:rPr>
        <w:t>（三）在采购过程中符合要求的供应商不足3家的 （不包含政府购买服务项目）；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（四）报价未超过采购预算的供应商不足3家的。</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37. 提交最后报价的供应商为2家时，可以继续进行磋商的情形：</w:t>
      </w:r>
    </w:p>
    <w:p>
      <w:pPr>
        <w:spacing w:line="360" w:lineRule="auto"/>
        <w:rPr>
          <w:rFonts w:ascii="宋体" w:hAnsi="宋体" w:cs="宋体"/>
          <w:color w:val="auto"/>
          <w:sz w:val="24"/>
          <w:highlight w:val="none"/>
        </w:rPr>
      </w:pPr>
      <w:r>
        <w:rPr>
          <w:rFonts w:hint="eastAsia" w:ascii="宋体" w:hAnsi="宋体" w:cs="宋体"/>
          <w:color w:val="auto"/>
          <w:sz w:val="24"/>
          <w:highlight w:val="none"/>
        </w:rPr>
        <w:t>（一）市场竞争不充分的科研项目，以及需要扶持的科技成果转化项目；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（二）政府购买服务项目（含政府和社会资本项目）。</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38.最后报价应按报价的格式内容填写</w:t>
      </w:r>
      <w:r>
        <w:rPr>
          <w:rFonts w:hint="eastAsia" w:ascii="宋体" w:hAnsi="宋体" w:cs="宋体"/>
          <w:color w:val="auto"/>
          <w:sz w:val="24"/>
          <w:highlight w:val="none"/>
        </w:rPr>
        <w:t>，并且同时提交最后响应报价表、最后报价明细表等内容（最后响应报价表、最后报价明细表等内容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p>
    <w:p>
      <w:pPr>
        <w:spacing w:line="360" w:lineRule="auto"/>
        <w:rPr>
          <w:rFonts w:ascii="宋体" w:hAnsi="宋体" w:cs="宋体"/>
          <w:color w:val="auto"/>
          <w:sz w:val="24"/>
          <w:highlight w:val="none"/>
        </w:rPr>
      </w:pPr>
      <w:r>
        <w:rPr>
          <w:rFonts w:hint="eastAsia" w:ascii="宋体" w:hAnsi="宋体" w:cs="宋体"/>
          <w:b/>
          <w:bCs/>
          <w:color w:val="auto"/>
          <w:sz w:val="24"/>
          <w:highlight w:val="none"/>
        </w:rPr>
        <w:t>39.磋商报价产品符合财库［2004］185号文件精神</w:t>
      </w:r>
      <w:r>
        <w:rPr>
          <w:rFonts w:hint="eastAsia" w:ascii="宋体" w:hAnsi="宋体" w:cs="宋体"/>
          <w:color w:val="auto"/>
          <w:sz w:val="24"/>
          <w:highlight w:val="none"/>
        </w:rPr>
        <w:t>，进入节能产品政府采购清单（有效期内）的；符合财库[2006]90号文件精神，进入环境标志产品政府采购清单（有效期内）的，提供证明文件，在评审中享受评标价格优惠折扣(详见评审方法)。磋商响应单位属于（财库[2011]181号）文件规定的小微企业的，提供中小企业声明函，在评审中享受评审价格优惠折扣 (详见评审方法)。磋商响应单位属于（财库[2014]68号）文件规定的监狱企业的，提供由省级以上监狱管理局、戒毒管理局出具的属于监狱企业的证明文件，视同小微企业，在评审中享受评审价格优惠折扣 (详见评审方法)。磋商响应单位属于（财库[2017]141号）文件规定的残疾人福利性单位的，提供《残疾人福利性单位声明函》，视同小微企业，在评审中享受评审价格优惠折扣 (详见评审方法)。</w:t>
      </w:r>
    </w:p>
    <w:p>
      <w:pPr>
        <w:pStyle w:val="17"/>
        <w:rPr>
          <w:rFonts w:ascii="宋体" w:hAnsi="宋体" w:cs="宋体"/>
          <w:color w:val="auto"/>
          <w:highlight w:val="none"/>
        </w:rPr>
      </w:pPr>
    </w:p>
    <w:p>
      <w:pPr>
        <w:pStyle w:val="4"/>
        <w:rPr>
          <w:rFonts w:ascii="宋体" w:hAnsi="宋体" w:cs="宋体"/>
          <w:color w:val="auto"/>
          <w:sz w:val="32"/>
          <w:highlight w:val="none"/>
        </w:rPr>
      </w:pPr>
      <w:bookmarkStart w:id="50" w:name="_Toc5011"/>
      <w:bookmarkStart w:id="51" w:name="_Toc23647"/>
      <w:bookmarkStart w:id="52" w:name="_Toc23884"/>
      <w:bookmarkStart w:id="53" w:name="_Toc29939"/>
      <w:bookmarkStart w:id="54" w:name="_Toc519156745"/>
      <w:bookmarkStart w:id="55" w:name="_Toc23716"/>
      <w:r>
        <w:rPr>
          <w:rFonts w:hint="eastAsia" w:ascii="宋体" w:hAnsi="宋体" w:cs="宋体"/>
          <w:color w:val="auto"/>
          <w:sz w:val="32"/>
          <w:highlight w:val="none"/>
        </w:rPr>
        <w:t>九．成交服务费</w:t>
      </w:r>
      <w:bookmarkEnd w:id="50"/>
      <w:bookmarkEnd w:id="51"/>
      <w:bookmarkEnd w:id="52"/>
      <w:bookmarkEnd w:id="53"/>
      <w:bookmarkEnd w:id="54"/>
      <w:bookmarkEnd w:id="55"/>
    </w:p>
    <w:p>
      <w:pPr>
        <w:snapToGrid w:val="0"/>
        <w:spacing w:line="420" w:lineRule="exact"/>
        <w:rPr>
          <w:rFonts w:ascii="宋体" w:hAnsi="宋体" w:cs="宋体"/>
          <w:color w:val="auto"/>
          <w:sz w:val="24"/>
          <w:highlight w:val="none"/>
        </w:rPr>
      </w:pPr>
      <w:r>
        <w:rPr>
          <w:rFonts w:hint="eastAsia" w:ascii="宋体" w:hAnsi="宋体" w:cs="宋体"/>
          <w:b/>
          <w:bCs/>
          <w:color w:val="auto"/>
          <w:sz w:val="24"/>
          <w:highlight w:val="none"/>
        </w:rPr>
        <w:t>40.招标代理服务费</w:t>
      </w:r>
    </w:p>
    <w:p>
      <w:pPr>
        <w:snapToGrid w:val="0"/>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成交人在领取《成交通知书》之前，向采购代理机构一次付清招标代理服务费。</w:t>
      </w:r>
    </w:p>
    <w:p>
      <w:pPr>
        <w:snapToGrid w:val="0"/>
        <w:spacing w:line="420" w:lineRule="exact"/>
        <w:rPr>
          <w:rFonts w:ascii="宋体" w:hAnsi="宋体" w:cs="宋体"/>
          <w:color w:val="auto"/>
          <w:sz w:val="24"/>
          <w:highlight w:val="none"/>
        </w:rPr>
      </w:pPr>
      <w:r>
        <w:rPr>
          <w:rFonts w:hint="eastAsia" w:ascii="宋体" w:hAnsi="宋体" w:cs="宋体"/>
          <w:color w:val="auto"/>
          <w:sz w:val="24"/>
          <w:highlight w:val="none"/>
        </w:rPr>
        <w:t>招标代理服务费的金额参照《国家计委关于印发&lt;招标代理服务收费管理暂行办法&gt;的通知》（计价格[2002]1980号）和国家发改委办公厅颁发的《关于招标代理服务收费有关问题的通知》（发改办价格【2003】857号）、《国家发展改革委关于降低部分建设项目收费标准规范收费行为等有关问题的通知》（发改价格[2011]534号）的有关规定收取。招标代理服务费交纳信息：</w:t>
      </w:r>
    </w:p>
    <w:p>
      <w:pPr>
        <w:spacing w:line="420" w:lineRule="exact"/>
        <w:jc w:val="left"/>
        <w:rPr>
          <w:rFonts w:ascii="宋体" w:hAnsi="宋体" w:cs="宋体"/>
          <w:b/>
          <w:bCs/>
          <w:color w:val="auto"/>
          <w:sz w:val="24"/>
          <w:highlight w:val="none"/>
        </w:rPr>
      </w:pPr>
      <w:r>
        <w:rPr>
          <w:rFonts w:hint="eastAsia" w:ascii="宋体" w:hAnsi="宋体" w:cs="宋体"/>
          <w:b/>
          <w:bCs/>
          <w:color w:val="auto"/>
          <w:sz w:val="24"/>
          <w:highlight w:val="none"/>
        </w:rPr>
        <w:t>银行户名：陕西德仁招标有限公司</w:t>
      </w:r>
    </w:p>
    <w:p>
      <w:pPr>
        <w:spacing w:line="420" w:lineRule="exact"/>
        <w:jc w:val="left"/>
        <w:rPr>
          <w:rFonts w:ascii="宋体" w:hAnsi="宋体" w:cs="宋体"/>
          <w:b/>
          <w:bCs/>
          <w:color w:val="auto"/>
          <w:sz w:val="24"/>
          <w:highlight w:val="none"/>
        </w:rPr>
      </w:pPr>
      <w:r>
        <w:rPr>
          <w:rFonts w:hint="eastAsia" w:ascii="宋体" w:hAnsi="宋体" w:cs="宋体"/>
          <w:b/>
          <w:bCs/>
          <w:color w:val="auto"/>
          <w:sz w:val="24"/>
          <w:highlight w:val="none"/>
        </w:rPr>
        <w:t>开户银行：</w:t>
      </w:r>
      <w:r>
        <w:rPr>
          <w:rFonts w:hint="eastAsia" w:ascii="宋体" w:hAnsi="宋体" w:cs="宋体"/>
          <w:b/>
          <w:bCs/>
          <w:color w:val="auto"/>
          <w:kern w:val="0"/>
          <w:sz w:val="24"/>
          <w:highlight w:val="none"/>
        </w:rPr>
        <w:t>招商银行股份有限公司西安城南支行</w:t>
      </w:r>
    </w:p>
    <w:p>
      <w:pPr>
        <w:spacing w:line="420" w:lineRule="exact"/>
        <w:jc w:val="left"/>
        <w:rPr>
          <w:rFonts w:ascii="宋体" w:hAnsi="宋体" w:cs="宋体"/>
          <w:b/>
          <w:bCs/>
          <w:color w:val="auto"/>
          <w:sz w:val="24"/>
          <w:highlight w:val="none"/>
        </w:rPr>
      </w:pPr>
      <w:r>
        <w:rPr>
          <w:rFonts w:hint="eastAsia" w:ascii="宋体" w:hAnsi="宋体" w:cs="宋体"/>
          <w:b/>
          <w:bCs/>
          <w:color w:val="auto"/>
          <w:sz w:val="24"/>
          <w:highlight w:val="none"/>
        </w:rPr>
        <w:t>账    号：1299 0904 6810 901</w:t>
      </w:r>
    </w:p>
    <w:p>
      <w:pPr>
        <w:spacing w:line="420" w:lineRule="exact"/>
        <w:jc w:val="left"/>
        <w:rPr>
          <w:rFonts w:ascii="宋体" w:hAnsi="宋体" w:cs="宋体"/>
          <w:b/>
          <w:bCs/>
          <w:color w:val="auto"/>
          <w:sz w:val="24"/>
          <w:highlight w:val="none"/>
        </w:rPr>
      </w:pPr>
      <w:r>
        <w:rPr>
          <w:rFonts w:hint="eastAsia" w:ascii="宋体" w:hAnsi="宋体" w:cs="宋体"/>
          <w:b/>
          <w:bCs/>
          <w:color w:val="auto"/>
          <w:sz w:val="24"/>
          <w:highlight w:val="none"/>
        </w:rPr>
        <w:t>联系人：杨会计  联系电话：029-85565073</w:t>
      </w:r>
    </w:p>
    <w:p>
      <w:pPr>
        <w:pStyle w:val="11"/>
        <w:rPr>
          <w:rFonts w:ascii="宋体" w:hAnsi="宋体" w:cs="宋体"/>
          <w:color w:val="auto"/>
          <w:highlight w:val="none"/>
        </w:rPr>
      </w:pPr>
    </w:p>
    <w:p>
      <w:pPr>
        <w:pStyle w:val="4"/>
        <w:rPr>
          <w:rFonts w:ascii="宋体" w:hAnsi="宋体" w:cs="宋体"/>
          <w:color w:val="auto"/>
          <w:sz w:val="32"/>
          <w:highlight w:val="none"/>
        </w:rPr>
      </w:pPr>
      <w:bookmarkStart w:id="56" w:name="_Toc840"/>
      <w:bookmarkStart w:id="57" w:name="_Toc5878"/>
      <w:bookmarkStart w:id="58" w:name="_Toc10336"/>
      <w:r>
        <w:rPr>
          <w:rFonts w:hint="eastAsia" w:ascii="宋体" w:hAnsi="宋体" w:cs="宋体"/>
          <w:color w:val="auto"/>
          <w:sz w:val="32"/>
          <w:highlight w:val="none"/>
        </w:rPr>
        <w:t>十.质疑与投诉</w:t>
      </w:r>
      <w:bookmarkEnd w:id="56"/>
      <w:bookmarkEnd w:id="57"/>
      <w:bookmarkEnd w:id="58"/>
    </w:p>
    <w:p>
      <w:pPr>
        <w:pStyle w:val="11"/>
        <w:spacing w:line="360" w:lineRule="auto"/>
        <w:jc w:val="left"/>
        <w:rPr>
          <w:rFonts w:ascii="宋体" w:hAnsi="宋体" w:cs="宋体"/>
          <w:b/>
          <w:bCs/>
          <w:color w:val="auto"/>
          <w:highlight w:val="none"/>
        </w:rPr>
      </w:pPr>
      <w:r>
        <w:rPr>
          <w:rFonts w:hint="eastAsia" w:ascii="宋体" w:hAnsi="宋体" w:cs="宋体"/>
          <w:b/>
          <w:bCs/>
          <w:color w:val="auto"/>
          <w:highlight w:val="none"/>
        </w:rPr>
        <w:t>41.质疑</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41.1供应商对本次磋商采购活动有疑问的，应当按照《中华人民共和国政府采购法实施条例》的有关规定办理。</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41.2 供应商对采购文件、采购过程或成交结果使自身的合法权益受到损害，应当在法定期限内，按照质疑函范本格式要求以书面形式向采购代理机构或采购人提出质疑，并附必要的证明材料。</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41.3 质疑函应当包括下列内容：</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（2）质疑项目的名称、编号；</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（4）事实依据；</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（5）必要的法律依据；</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（6）提出质疑的日期。</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供应商为法人的，应当由法定代表人或者其委托代理人签字或者盖章，并加盖单位章。</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41.4质疑人可以委托代理人办理质疑事项，代理人办理质疑事项时，除提交质疑函外，还应当提交质疑人的授权委托书及代理人的有效身份证明，授权委托书应当载明委托代理的具体权限期限和相关事项。</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41.5 质疑函范本格式在中国政府采购网站（http://www.ccgp.gov.cn/）自行下载。</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41.6 接收质疑函的联系部门、联系电话和通讯地址同招标公告。</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41.7 有下列情形之一的，属于无效质疑，采购代理机构和采购人不予受理：</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（1）质疑人不是参与本次政府采购项目的供应商；</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（2）质疑人与质疑事项不存在利害关系的；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（3）未在法定期限内提出质疑的；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（4）质疑未以书面形式提出，以传真、电子邮件、移动通信等形式即时收悉提交的质疑材料；</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（5）质疑未按质疑函范本格式提出的；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（6）质疑书主要内容构成不完整的；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（7）质疑书没有合法有效的签字、盖章或授权的；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（8）以非法手段取得证据、材料的；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（9）质疑答复后，同一质疑人就同一事项再次提出质疑的；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（10）不符合法律、法规、规章和政府采购监管机构规定的其他条件的。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41.8 采购代理机构或采购人将在收到书面质疑后7个工作日内做出答复，并以书面形式通知质疑人和其他有关供应商。</w:t>
      </w:r>
    </w:p>
    <w:p>
      <w:pPr>
        <w:pStyle w:val="11"/>
        <w:spacing w:line="360" w:lineRule="auto"/>
        <w:jc w:val="left"/>
        <w:rPr>
          <w:rFonts w:ascii="宋体" w:hAnsi="宋体" w:cs="宋体"/>
          <w:b/>
          <w:bCs/>
          <w:color w:val="auto"/>
          <w:highlight w:val="none"/>
        </w:rPr>
      </w:pPr>
      <w:r>
        <w:rPr>
          <w:rFonts w:hint="eastAsia" w:ascii="宋体" w:hAnsi="宋体" w:cs="宋体"/>
          <w:b/>
          <w:bCs/>
          <w:color w:val="auto"/>
          <w:highlight w:val="none"/>
        </w:rPr>
        <w:t>42.投诉</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42.1 质疑人对采购代理机构或采购人的答复不满意，或者采购人、采购代理机构未在规定时间内作出答复的，可以在答复期满后15个工作日内向同级财政部门提起投诉。</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42.2 供应商投诉时,应当提交投诉书和必要的证明材料，并按照被投诉采购人、采购代理机构（以下简称被投诉人）和与投诉事项有关的供应商数量提供投诉书的副本。投诉书应当包括下列内容：</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（1）投诉人和被投诉人的姓名或者名称、通讯地址、邮编、联系人及联系电话；</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（2）质疑和质疑答复情况说明及相关证明材料；</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（3）具体、明确的投诉事项和与投诉事项相关的投诉请求；</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（4）事实依据；</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（5）法律依据；</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（6）提起投诉的日期。</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投诉人为自然人的，应当由本人签字；投诉人为法人或者其他组织的，应当由法定代表人、主要负责人，或者其委托代理人签字或者盖章，并加盖单位章。</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42.3 投诉书范本格式在中国政府采购网站（http://www.ccgp.gov.cn/）自行下载。</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42.4 投诉人提起投诉应当符合下列条件：</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（1）提起投诉前已依法进行质疑；</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（2）投诉书内容符合财政部94号令的规定；</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（3）在投诉有效期限内提起投诉；</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（4）同一投诉事项未经财政部门投诉处理；</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　　（5）财政部规定的其他条件。</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42.5  投诉人投诉的事项不得超出已质疑事项的范围，但基于质疑答复内容提出的投诉事项除外。</w:t>
      </w:r>
    </w:p>
    <w:p>
      <w:pPr>
        <w:pStyle w:val="11"/>
        <w:spacing w:line="360" w:lineRule="auto"/>
        <w:jc w:val="left"/>
        <w:rPr>
          <w:rFonts w:ascii="宋体" w:hAnsi="宋体" w:cs="宋体"/>
          <w:color w:val="auto"/>
          <w:highlight w:val="none"/>
        </w:rPr>
      </w:pPr>
      <w:r>
        <w:rPr>
          <w:rFonts w:hint="eastAsia" w:ascii="宋体" w:hAnsi="宋体" w:cs="宋体"/>
          <w:b/>
          <w:bCs/>
          <w:color w:val="auto"/>
          <w:highlight w:val="none"/>
        </w:rPr>
        <w:t>43.</w:t>
      </w:r>
      <w:r>
        <w:rPr>
          <w:rFonts w:hint="eastAsia" w:ascii="宋体" w:hAnsi="宋体" w:cs="宋体"/>
          <w:color w:val="auto"/>
          <w:highlight w:val="none"/>
        </w:rPr>
        <w:t>成交供应商有下列情形之一的，将被列入不良行为记录名单，在1～3年内禁止参加政府采购活动，并予以通报：</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(1)成交后无正当理由不与采购人签订合同的；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(2)未按照采购文件确定的事项签订政府采购合同，或者与采购人另行订立背离合同实质性内容的协议的；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(3)拒绝履行合同义务的；</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(4)《政府采购法》第七十七条和《政府采购法实施条例》第七十二条规定的其他情形；</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(5)其他违反法律法规相关规定的情形。</w:t>
      </w:r>
    </w:p>
    <w:p>
      <w:pPr>
        <w:pStyle w:val="14"/>
        <w:rPr>
          <w:rFonts w:hAnsi="宋体" w:cs="宋体"/>
          <w:color w:val="auto"/>
          <w:sz w:val="24"/>
          <w:szCs w:val="24"/>
          <w:highlight w:val="none"/>
        </w:rPr>
      </w:pPr>
      <w:r>
        <w:rPr>
          <w:rFonts w:hint="eastAsia" w:hAnsi="宋体" w:cs="宋体"/>
          <w:color w:val="auto"/>
          <w:sz w:val="24"/>
          <w:szCs w:val="24"/>
          <w:highlight w:val="none"/>
        </w:rPr>
        <w:t>44.其他规定</w:t>
      </w:r>
    </w:p>
    <w:p>
      <w:pPr>
        <w:pStyle w:val="14"/>
        <w:rPr>
          <w:rFonts w:hAnsi="宋体" w:cs="宋体"/>
          <w:color w:val="auto"/>
          <w:sz w:val="24"/>
          <w:szCs w:val="24"/>
          <w:highlight w:val="none"/>
        </w:rPr>
      </w:pPr>
      <w:r>
        <w:rPr>
          <w:rFonts w:hint="eastAsia" w:hAnsi="宋体" w:cs="宋体"/>
          <w:color w:val="auto"/>
          <w:sz w:val="24"/>
          <w:szCs w:val="24"/>
          <w:highlight w:val="none"/>
        </w:rPr>
        <w:t>44.1　磋商文件的其他规定见磋商须知前附表。</w:t>
      </w:r>
    </w:p>
    <w:p>
      <w:pPr>
        <w:pStyle w:val="14"/>
        <w:rPr>
          <w:rFonts w:hAnsi="宋体" w:cs="宋体"/>
          <w:color w:val="auto"/>
          <w:sz w:val="24"/>
          <w:szCs w:val="24"/>
          <w:highlight w:val="none"/>
        </w:rPr>
      </w:pPr>
      <w:r>
        <w:rPr>
          <w:rFonts w:hint="eastAsia" w:hAnsi="宋体" w:cs="宋体"/>
          <w:color w:val="auto"/>
          <w:sz w:val="24"/>
          <w:szCs w:val="24"/>
          <w:highlight w:val="none"/>
        </w:rPr>
        <w:t>45.未尽事宜</w:t>
      </w:r>
    </w:p>
    <w:p>
      <w:pPr>
        <w:pStyle w:val="14"/>
        <w:rPr>
          <w:rFonts w:hAnsi="宋体" w:cs="宋体"/>
          <w:color w:val="auto"/>
          <w:sz w:val="24"/>
          <w:szCs w:val="24"/>
          <w:highlight w:val="none"/>
        </w:rPr>
      </w:pPr>
      <w:r>
        <w:rPr>
          <w:rFonts w:hint="eastAsia" w:hAnsi="宋体" w:cs="宋体"/>
          <w:color w:val="auto"/>
          <w:sz w:val="24"/>
          <w:szCs w:val="24"/>
          <w:highlight w:val="none"/>
        </w:rPr>
        <w:t>45.1　其他未尽事宜按政府采购法律法规的规定执行。</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46.文件解释权</w:t>
      </w:r>
    </w:p>
    <w:p>
      <w:pPr>
        <w:pStyle w:val="11"/>
        <w:spacing w:line="360" w:lineRule="auto"/>
        <w:jc w:val="left"/>
        <w:rPr>
          <w:rFonts w:ascii="宋体" w:hAnsi="宋体" w:cs="宋体"/>
          <w:color w:val="auto"/>
          <w:highlight w:val="none"/>
        </w:rPr>
      </w:pPr>
      <w:r>
        <w:rPr>
          <w:rFonts w:hint="eastAsia" w:ascii="宋体" w:hAnsi="宋体" w:cs="宋体"/>
          <w:color w:val="auto"/>
          <w:highlight w:val="none"/>
        </w:rPr>
        <w:t>46.1　本磋商文件的解释权归采购代理机构所有。</w:t>
      </w:r>
    </w:p>
    <w:p>
      <w:pPr>
        <w:pStyle w:val="4"/>
        <w:rPr>
          <w:rFonts w:ascii="宋体" w:hAnsi="宋体" w:cs="宋体"/>
          <w:color w:val="auto"/>
          <w:sz w:val="32"/>
          <w:highlight w:val="none"/>
        </w:rPr>
      </w:pPr>
      <w:bookmarkStart w:id="59" w:name="_Toc29642"/>
      <w:bookmarkStart w:id="60" w:name="_Toc23208"/>
      <w:r>
        <w:rPr>
          <w:rFonts w:hint="eastAsia" w:ascii="宋体" w:hAnsi="宋体" w:cs="宋体"/>
          <w:color w:val="auto"/>
          <w:sz w:val="32"/>
          <w:highlight w:val="none"/>
        </w:rPr>
        <w:t>十一. 需要落实的政府采购政策</w:t>
      </w:r>
      <w:bookmarkEnd w:id="59"/>
      <w:bookmarkEnd w:id="60"/>
    </w:p>
    <w:p>
      <w:pPr>
        <w:spacing w:line="360" w:lineRule="auto"/>
        <w:rPr>
          <w:rFonts w:ascii="宋体" w:hAnsi="宋体" w:cs="宋体"/>
          <w:b/>
          <w:color w:val="auto"/>
          <w:sz w:val="24"/>
          <w:highlight w:val="none"/>
        </w:rPr>
      </w:pPr>
      <w:r>
        <w:rPr>
          <w:rFonts w:hint="eastAsia" w:ascii="宋体" w:hAnsi="宋体" w:cs="宋体"/>
          <w:b/>
          <w:color w:val="auto"/>
          <w:sz w:val="24"/>
          <w:highlight w:val="none"/>
        </w:rPr>
        <w:t>47.采购政策</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根据《陕西省财政厅关于政府采购有关问题的通知》（陕财办采资（2016）53号）、《西安市政府采购信用担保及信用融资工作实施方案（试行）》（市财发〔2014〕167）的规定，对政府采购相关政策落实如下：</w:t>
      </w:r>
    </w:p>
    <w:p>
      <w:pPr>
        <w:spacing w:line="360" w:lineRule="auto"/>
        <w:ind w:firstLine="315"/>
        <w:rPr>
          <w:rFonts w:ascii="宋体" w:hAnsi="宋体" w:cs="宋体"/>
          <w:b/>
          <w:color w:val="auto"/>
          <w:sz w:val="24"/>
          <w:highlight w:val="none"/>
        </w:rPr>
      </w:pPr>
      <w:r>
        <w:rPr>
          <w:rFonts w:hint="eastAsia" w:ascii="宋体" w:hAnsi="宋体" w:cs="宋体"/>
          <w:b/>
          <w:color w:val="auto"/>
          <w:sz w:val="24"/>
          <w:highlight w:val="none"/>
        </w:rPr>
        <w:t>（1）《政府采购促进中小企业发展暂行办法》的通知--财库[2011]181号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政府采购促进中小企业发展暂行办法》（财库（2011）181号）规定，参加政府采购活动的中小企业应当提供《中小企业声明函》。供应商提供的《中小企业声明函》资料必须真实，否则，按照有关规定予以处理。</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评标委员会对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提供的《中小企业声明函》及相关证明文件进行核实后，根据《政府采购促进中小企业发展暂行办法》的相关规定，对小型和微型企业制造（生产）的价格给予6%的扣除，用扣除后的价格参与评审。</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小企业（含小微、微型企业）应当同时符合以下条件：（1）供应商为小企业，且符合中小企业划分标准；（2）提供本企业制造的货物、承担的工程或者服务，或者提供其他小企业制造的货物。如果提供的货物为大、中型企业注册商标的货物，视同大中型企业。</w:t>
      </w:r>
    </w:p>
    <w:p>
      <w:pPr>
        <w:spacing w:line="360" w:lineRule="auto"/>
        <w:ind w:firstLine="315"/>
        <w:rPr>
          <w:rFonts w:ascii="宋体" w:hAnsi="宋体" w:cs="宋体"/>
          <w:b/>
          <w:color w:val="auto"/>
          <w:sz w:val="24"/>
          <w:highlight w:val="none"/>
        </w:rPr>
      </w:pPr>
      <w:r>
        <w:rPr>
          <w:rFonts w:hint="eastAsia" w:ascii="宋体" w:hAnsi="宋体" w:cs="宋体"/>
          <w:b/>
          <w:color w:val="auto"/>
          <w:sz w:val="24"/>
          <w:highlight w:val="none"/>
        </w:rPr>
        <w:t xml:space="preserve">（2）财政部司法部关于政府采购支持监狱企业发展有关问题的通知--财库〔2014〕68号 </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评标小组对监狱企业的价格给予6%的扣除，用扣除后的价格参与评审。</w:t>
      </w:r>
    </w:p>
    <w:p>
      <w:pPr>
        <w:spacing w:line="360" w:lineRule="auto"/>
        <w:ind w:firstLine="205"/>
        <w:rPr>
          <w:rFonts w:ascii="宋体" w:hAnsi="宋体" w:cs="宋体"/>
          <w:b/>
          <w:color w:val="auto"/>
          <w:sz w:val="24"/>
          <w:highlight w:val="none"/>
        </w:rPr>
      </w:pPr>
      <w:r>
        <w:rPr>
          <w:rFonts w:hint="eastAsia" w:ascii="宋体" w:hAnsi="宋体" w:cs="宋体"/>
          <w:b/>
          <w:color w:val="auto"/>
          <w:sz w:val="24"/>
          <w:highlight w:val="none"/>
        </w:rPr>
        <w:t>（3）《关于政府采购优先购买福利性企业产品和服务的意见》（陕民发（2015）1号）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根据《关于政府采购优先购买福利性企业产品和服务的意见》（陕民发（2015）1号）规定，在政府采购活动中，本省福利性企业享受我省规定的采购扶持政策。</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福利企业参加政府采购活动时，应当提供市级以上民政局、财政局、残联部门出具的福利性企业的证明文件。</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评标小组对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提供的福利企业的证明文件进行核实后，根据相关规定，对福利企业的价格给予6%的扣除，用扣除后的价格参与评审。</w:t>
      </w:r>
    </w:p>
    <w:p>
      <w:pPr>
        <w:spacing w:line="360" w:lineRule="auto"/>
        <w:ind w:firstLine="205"/>
        <w:rPr>
          <w:rFonts w:ascii="宋体" w:hAnsi="宋体" w:cs="宋体"/>
          <w:b/>
          <w:color w:val="auto"/>
          <w:sz w:val="24"/>
          <w:highlight w:val="none"/>
        </w:rPr>
      </w:pPr>
      <w:r>
        <w:rPr>
          <w:rFonts w:hint="eastAsia" w:ascii="宋体" w:hAnsi="宋体" w:cs="宋体"/>
          <w:b/>
          <w:color w:val="auto"/>
          <w:sz w:val="24"/>
          <w:highlight w:val="none"/>
        </w:rPr>
        <w:t>（4）《国务院办公厅关于建立政府强制采购节能产品制度的通知》--国办发〔2007〕51号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205"/>
        <w:rPr>
          <w:rFonts w:ascii="宋体" w:hAnsi="宋体" w:cs="宋体"/>
          <w:b/>
          <w:color w:val="auto"/>
          <w:sz w:val="24"/>
          <w:highlight w:val="none"/>
        </w:rPr>
      </w:pPr>
      <w:r>
        <w:rPr>
          <w:rFonts w:hint="eastAsia" w:ascii="宋体" w:hAnsi="宋体" w:cs="宋体"/>
          <w:b/>
          <w:color w:val="auto"/>
          <w:sz w:val="24"/>
          <w:highlight w:val="none"/>
        </w:rPr>
        <w:t xml:space="preserve">（5）《节能产品政府采购实施意见》--（财库[2004]185号） </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根据《节能产品政府采购实施意见》--（财库[2004]185号）规定，政府采购属于节能清单中产品时，在技术、服务等指标同等条件下，应当优先采购节能清单所列的节能产品。</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在投标时</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应提供有效证明材料（证明材料须加盖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红色公章）。（注：产品属于品目清单范围中实施政府强制采购的，需提供依据国家确定的认证机构出具的、处于有效期之内的节能产品，属于品目清单范围中实施政府优先采购的，依据提供的品目清单和认证证书实施政府优先采购）。</w:t>
      </w:r>
    </w:p>
    <w:p>
      <w:pPr>
        <w:spacing w:line="360" w:lineRule="auto"/>
        <w:ind w:firstLine="205"/>
        <w:rPr>
          <w:rFonts w:ascii="宋体" w:hAnsi="宋体" w:cs="宋体"/>
          <w:b/>
          <w:color w:val="auto"/>
          <w:sz w:val="24"/>
          <w:highlight w:val="none"/>
        </w:rPr>
      </w:pPr>
      <w:r>
        <w:rPr>
          <w:rFonts w:hint="eastAsia" w:ascii="宋体" w:hAnsi="宋体" w:cs="宋体"/>
          <w:b/>
          <w:color w:val="auto"/>
          <w:sz w:val="24"/>
          <w:highlight w:val="none"/>
        </w:rPr>
        <w:t>（6）《环境标志产品政府采购实施的意见》--财库[2006]90号</w:t>
      </w:r>
    </w:p>
    <w:p>
      <w:pPr>
        <w:spacing w:line="360" w:lineRule="auto"/>
        <w:ind w:firstLine="420"/>
        <w:rPr>
          <w:rFonts w:ascii="宋体" w:hAnsi="宋体" w:cs="宋体"/>
          <w:color w:val="auto"/>
          <w:sz w:val="24"/>
          <w:highlight w:val="none"/>
        </w:rPr>
      </w:pPr>
      <w:r>
        <w:rPr>
          <w:rFonts w:hint="eastAsia" w:ascii="宋体" w:hAnsi="宋体" w:cs="宋体"/>
          <w:color w:val="auto"/>
          <w:sz w:val="24"/>
          <w:highlight w:val="none"/>
        </w:rPr>
        <w:t>根据《环境标志产品政府采购实施的意见》--财库[2006]90号规定，采购人采购的产品属于清单中品目的，在性能、技术、服务等指标同等条件下，应当优先采购清单中的产品。</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在投标时</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应提供有效证明材料（证明材料须加盖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红色公章）。（注：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205"/>
        <w:rPr>
          <w:rFonts w:ascii="宋体" w:hAnsi="宋体" w:cs="宋体"/>
          <w:b/>
          <w:color w:val="auto"/>
          <w:sz w:val="24"/>
          <w:highlight w:val="none"/>
        </w:rPr>
      </w:pPr>
      <w:r>
        <w:rPr>
          <w:rFonts w:hint="eastAsia" w:ascii="宋体" w:hAnsi="宋体" w:cs="宋体"/>
          <w:b/>
          <w:color w:val="auto"/>
          <w:sz w:val="24"/>
          <w:highlight w:val="none"/>
        </w:rPr>
        <w:t>（7）《关于促进残疾人就业政府采购政策的通知》--财库〔2017〕141号</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符合条件的残疾人福利性单位在参加政府采购活动时，应提供本通知规定的《残疾人福利性单位声明函》，并对声明的真实性负责。</w:t>
      </w:r>
    </w:p>
    <w:p>
      <w:pPr>
        <w:pStyle w:val="14"/>
        <w:spacing w:line="42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4"/>
        <w:spacing w:line="420" w:lineRule="exact"/>
        <w:ind w:firstLine="480" w:firstLineChars="200"/>
        <w:rPr>
          <w:rFonts w:hAnsi="宋体" w:cs="宋体"/>
          <w:color w:val="auto"/>
          <w:sz w:val="24"/>
          <w:szCs w:val="24"/>
          <w:highlight w:val="none"/>
        </w:rPr>
      </w:pPr>
    </w:p>
    <w:p>
      <w:pPr>
        <w:pStyle w:val="14"/>
        <w:spacing w:line="420" w:lineRule="exact"/>
        <w:ind w:firstLine="480" w:firstLineChars="200"/>
        <w:rPr>
          <w:rFonts w:hAnsi="宋体" w:cs="宋体"/>
          <w:color w:val="auto"/>
          <w:sz w:val="24"/>
          <w:szCs w:val="24"/>
          <w:highlight w:val="none"/>
        </w:rPr>
      </w:pPr>
    </w:p>
    <w:p>
      <w:pPr>
        <w:pStyle w:val="14"/>
        <w:spacing w:line="420" w:lineRule="exact"/>
        <w:ind w:firstLine="480" w:firstLineChars="200"/>
        <w:rPr>
          <w:rFonts w:hAnsi="宋体" w:cs="宋体"/>
          <w:color w:val="auto"/>
          <w:sz w:val="24"/>
          <w:szCs w:val="24"/>
          <w:highlight w:val="none"/>
        </w:rPr>
      </w:pPr>
    </w:p>
    <w:p>
      <w:pPr>
        <w:pStyle w:val="14"/>
        <w:spacing w:line="420" w:lineRule="exact"/>
        <w:ind w:firstLine="480" w:firstLineChars="200"/>
        <w:rPr>
          <w:rFonts w:hAnsi="宋体" w:cs="宋体"/>
          <w:color w:val="auto"/>
          <w:sz w:val="24"/>
          <w:szCs w:val="24"/>
          <w:highlight w:val="none"/>
        </w:rPr>
      </w:pPr>
    </w:p>
    <w:p>
      <w:pPr>
        <w:pStyle w:val="14"/>
        <w:spacing w:line="420" w:lineRule="exact"/>
        <w:ind w:firstLine="480" w:firstLineChars="200"/>
        <w:rPr>
          <w:rFonts w:hAnsi="宋体" w:cs="宋体"/>
          <w:color w:val="auto"/>
          <w:sz w:val="24"/>
          <w:szCs w:val="24"/>
          <w:highlight w:val="none"/>
        </w:rPr>
        <w:sectPr>
          <w:headerReference r:id="rId9" w:type="first"/>
          <w:footerReference r:id="rId10" w:type="default"/>
          <w:footerReference r:id="rId11" w:type="even"/>
          <w:pgSz w:w="11906" w:h="16838"/>
          <w:pgMar w:top="1440" w:right="1417" w:bottom="1440" w:left="1587" w:header="850" w:footer="992" w:gutter="0"/>
          <w:pgNumType w:fmt="numberInDash"/>
          <w:cols w:space="0" w:num="1"/>
          <w:docGrid w:type="lines" w:linePitch="312" w:charSpace="0"/>
        </w:sectPr>
      </w:pPr>
    </w:p>
    <w:p>
      <w:pPr>
        <w:pStyle w:val="3"/>
        <w:numPr>
          <w:ilvl w:val="0"/>
          <w:numId w:val="2"/>
        </w:numPr>
        <w:rPr>
          <w:color w:val="auto"/>
          <w:highlight w:val="none"/>
        </w:rPr>
      </w:pPr>
      <w:bookmarkStart w:id="61" w:name="_Toc9715"/>
      <w:bookmarkStart w:id="62" w:name="_Toc18268"/>
      <w:bookmarkStart w:id="63" w:name="_Toc31900"/>
      <w:r>
        <w:rPr>
          <w:rFonts w:hint="eastAsia"/>
          <w:color w:val="auto"/>
          <w:highlight w:val="none"/>
        </w:rPr>
        <w:t>磋商要求及说明</w:t>
      </w:r>
      <w:bookmarkEnd w:id="33"/>
      <w:bookmarkEnd w:id="34"/>
      <w:bookmarkEnd w:id="35"/>
      <w:bookmarkEnd w:id="61"/>
      <w:bookmarkEnd w:id="62"/>
      <w:bookmarkEnd w:id="63"/>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一、采购项目情况</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优抚对象</w:t>
      </w:r>
      <w:r>
        <w:rPr>
          <w:rFonts w:hint="eastAsia" w:ascii="宋体" w:hAnsi="宋体" w:cs="宋体"/>
          <w:color w:val="auto"/>
          <w:sz w:val="24"/>
          <w:szCs w:val="32"/>
          <w:highlight w:val="none"/>
        </w:rPr>
        <w:t>2020年春节慰问年画，内容以“秦岭风光”为主题，集年画、年历于一体，突出庚子鼠年祥和元素。</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二、产品技术要求</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1、成品尺寸：年画（横版）87cm*57.5cm；纸张材料要求：年画纸张≥157g高光铜版纸；</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2、桶盒尺寸：圆柱形9</w:t>
      </w:r>
      <w:r>
        <w:rPr>
          <w:rFonts w:ascii="宋体" w:hAnsi="宋体" w:cs="宋体"/>
          <w:color w:val="auto"/>
          <w:sz w:val="24"/>
          <w:szCs w:val="32"/>
          <w:highlight w:val="none"/>
        </w:rPr>
        <w:t>5</w:t>
      </w:r>
      <w:r>
        <w:rPr>
          <w:rFonts w:hint="eastAsia" w:ascii="宋体" w:hAnsi="宋体" w:cs="宋体"/>
          <w:color w:val="auto"/>
          <w:sz w:val="24"/>
          <w:szCs w:val="32"/>
          <w:highlight w:val="none"/>
        </w:rPr>
        <w:t>cm（高）*</w:t>
      </w:r>
      <w:r>
        <w:rPr>
          <w:rFonts w:ascii="宋体" w:hAnsi="宋体" w:cs="宋体"/>
          <w:color w:val="auto"/>
          <w:sz w:val="24"/>
          <w:szCs w:val="32"/>
          <w:highlight w:val="none"/>
        </w:rPr>
        <w:t>7</w:t>
      </w:r>
      <w:r>
        <w:rPr>
          <w:rFonts w:hint="eastAsia" w:ascii="宋体" w:hAnsi="宋体" w:cs="宋体"/>
          <w:color w:val="auto"/>
          <w:sz w:val="24"/>
          <w:szCs w:val="32"/>
          <w:highlight w:val="none"/>
        </w:rPr>
        <w:t>cm（直径）；桶盒纸张及要求：桶盒纸张≥180g白卡纸，8层叠裱专用圆筒机成型，面纸≥157g高光铜版纸。</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3、印刷要求：4色印刷，敷亚膜手工裱糊。</w:t>
      </w:r>
    </w:p>
    <w:p>
      <w:pPr>
        <w:spacing w:line="360" w:lineRule="auto"/>
        <w:ind w:left="210" w:leftChars="100"/>
        <w:rPr>
          <w:rFonts w:ascii="宋体" w:hAnsi="宋体" w:cs="宋体"/>
          <w:color w:val="auto"/>
          <w:sz w:val="21"/>
          <w:szCs w:val="21"/>
          <w:highlight w:val="none"/>
        </w:rPr>
      </w:pPr>
      <w:r>
        <w:rPr>
          <w:rFonts w:hint="eastAsia" w:ascii="宋体" w:hAnsi="宋体" w:cs="宋体"/>
          <w:color w:val="auto"/>
          <w:sz w:val="24"/>
          <w:szCs w:val="32"/>
          <w:highlight w:val="none"/>
        </w:rPr>
        <w:t>4、印刷工艺要求：单面四色印刷。</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5、印刷设备：小全开四色胶印机。</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6、印刷油墨：胶印亮光不结皮四色油墨。</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三、采购数量及形式：</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1、年画数量：160万张。</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2、桶盒数量：</w:t>
      </w:r>
      <w:r>
        <w:rPr>
          <w:rFonts w:ascii="宋体" w:hAnsi="宋体" w:cs="宋体"/>
          <w:color w:val="auto"/>
          <w:sz w:val="24"/>
          <w:szCs w:val="32"/>
          <w:highlight w:val="none"/>
        </w:rPr>
        <w:t>6</w:t>
      </w:r>
      <w:r>
        <w:rPr>
          <w:rFonts w:hint="eastAsia" w:ascii="宋体" w:hAnsi="宋体" w:cs="宋体"/>
          <w:color w:val="auto"/>
          <w:sz w:val="24"/>
          <w:szCs w:val="32"/>
          <w:highlight w:val="none"/>
        </w:rPr>
        <w:t>00个。</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3、包装：年画200张/包（专用防潮牛皮纸）；桶盒20个/5层纸箱。</w:t>
      </w:r>
    </w:p>
    <w:p>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四、样品递交要求</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（1）样品递交时间：随响应文件一起递交；（未递交样品视为无效响应）。</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（2）样品递交地点：西安市高新区沣惠南路20号华晶商务广场B座2301室会议室；</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3）样品须用桶盒完整递交（内含年画一张），外包装上注明样品清单及公司名称，年画背面备注公司名称；（如果磋商供应商未按上述要求封装及加写标记，出现此类情况的样品，采购代理机构将拒绝接收，并退回磋商供应商。）。</w:t>
      </w:r>
    </w:p>
    <w:p>
      <w:pPr>
        <w:spacing w:line="360" w:lineRule="auto"/>
        <w:ind w:left="210" w:leftChars="100"/>
        <w:rPr>
          <w:rFonts w:ascii="宋体" w:hAnsi="宋体" w:cs="宋体"/>
          <w:color w:val="auto"/>
          <w:sz w:val="24"/>
          <w:szCs w:val="32"/>
          <w:highlight w:val="none"/>
        </w:rPr>
      </w:pPr>
      <w:r>
        <w:rPr>
          <w:rFonts w:hint="eastAsia" w:ascii="宋体" w:hAnsi="宋体" w:cs="宋体"/>
          <w:color w:val="auto"/>
          <w:sz w:val="24"/>
          <w:szCs w:val="32"/>
          <w:highlight w:val="none"/>
        </w:rPr>
        <w:t>（4）样品在磋商会议结束后统一封存；公示期结束后无异议退还未成交供应商的样品，货物验收合格后退还成交供应商的样品。</w:t>
      </w:r>
    </w:p>
    <w:p>
      <w:pPr>
        <w:pStyle w:val="3"/>
        <w:jc w:val="left"/>
        <w:rPr>
          <w:rFonts w:hint="default" w:eastAsia="宋体"/>
          <w:color w:val="auto"/>
          <w:sz w:val="24"/>
          <w:szCs w:val="36"/>
          <w:highlight w:val="none"/>
          <w:lang w:val="en-US" w:eastAsia="zh-CN"/>
        </w:rPr>
      </w:pPr>
      <w:r>
        <w:rPr>
          <w:rFonts w:hint="eastAsia"/>
          <w:color w:val="auto"/>
          <w:sz w:val="24"/>
          <w:szCs w:val="36"/>
          <w:highlight w:val="none"/>
          <w:lang w:val="en-US" w:eastAsia="zh-CN"/>
        </w:rPr>
        <w:t>五、附件：设计图样</w:t>
      </w:r>
    </w:p>
    <w:p>
      <w:pPr>
        <w:rPr>
          <w:rFonts w:hint="eastAsia" w:eastAsia="宋体"/>
          <w:color w:val="auto"/>
          <w:highlight w:val="none"/>
          <w:lang w:eastAsia="zh-CN"/>
        </w:rPr>
      </w:pPr>
      <w:r>
        <w:rPr>
          <w:rFonts w:hint="eastAsia"/>
          <w:color w:val="auto"/>
          <w:highlight w:val="none"/>
        </w:rPr>
        <w:br w:type="page"/>
      </w:r>
      <w:r>
        <w:rPr>
          <w:rFonts w:hint="eastAsia" w:eastAsia="宋体"/>
          <w:color w:val="auto"/>
          <w:highlight w:val="none"/>
          <w:lang w:eastAsia="zh-CN"/>
        </w:rPr>
        <w:drawing>
          <wp:inline distT="0" distB="0" distL="114300" distR="114300">
            <wp:extent cx="8249285" cy="5519420"/>
            <wp:effectExtent l="0" t="0" r="5080" b="18415"/>
            <wp:docPr id="1" name="图片 1" descr="设计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设计图片"/>
                    <pic:cNvPicPr>
                      <a:picLocks noChangeAspect="1"/>
                    </pic:cNvPicPr>
                  </pic:nvPicPr>
                  <pic:blipFill>
                    <a:blip r:embed="rId13"/>
                    <a:stretch>
                      <a:fillRect/>
                    </a:stretch>
                  </pic:blipFill>
                  <pic:spPr>
                    <a:xfrm rot="5400000">
                      <a:off x="0" y="0"/>
                      <a:ext cx="8249285" cy="5519420"/>
                    </a:xfrm>
                    <a:prstGeom prst="rect">
                      <a:avLst/>
                    </a:prstGeom>
                  </pic:spPr>
                </pic:pic>
              </a:graphicData>
            </a:graphic>
          </wp:inline>
        </w:drawing>
      </w:r>
      <w:r>
        <w:rPr>
          <w:rFonts w:hint="eastAsia"/>
          <w:color w:val="auto"/>
          <w:highlight w:val="none"/>
        </w:rPr>
        <w:br w:type="page"/>
      </w:r>
    </w:p>
    <w:p>
      <w:pPr>
        <w:pStyle w:val="3"/>
        <w:rPr>
          <w:color w:val="auto"/>
          <w:highlight w:val="none"/>
        </w:rPr>
      </w:pPr>
      <w:bookmarkStart w:id="64" w:name="_Toc16855"/>
      <w:r>
        <w:rPr>
          <w:rFonts w:hint="eastAsia"/>
          <w:color w:val="auto"/>
          <w:highlight w:val="none"/>
        </w:rPr>
        <w:t>第四部分 商务及合同主要条款</w:t>
      </w:r>
      <w:bookmarkEnd w:id="64"/>
    </w:p>
    <w:p>
      <w:pPr>
        <w:spacing w:line="360" w:lineRule="auto"/>
        <w:ind w:firstLine="440" w:firstLineChars="200"/>
        <w:rPr>
          <w:rFonts w:ascii="宋体" w:hAnsi="宋体" w:cs="宋体"/>
          <w:color w:val="auto"/>
          <w:sz w:val="22"/>
          <w:szCs w:val="18"/>
          <w:highlight w:val="none"/>
        </w:rPr>
      </w:pPr>
      <w:bookmarkStart w:id="65" w:name="_Toc519156757"/>
      <w:bookmarkStart w:id="66" w:name="_Toc13278"/>
      <w:bookmarkStart w:id="67" w:name="_Toc12426"/>
      <w:r>
        <w:rPr>
          <w:rFonts w:hint="eastAsia" w:ascii="宋体" w:hAnsi="宋体" w:cs="宋体"/>
          <w:color w:val="auto"/>
          <w:sz w:val="22"/>
          <w:szCs w:val="18"/>
          <w:highlight w:val="none"/>
        </w:rPr>
        <w:t>本表是对合同条款的具体补充和修改，如有矛盾，应以本资料表为准。</w:t>
      </w:r>
    </w:p>
    <w:tbl>
      <w:tblPr>
        <w:tblStyle w:val="24"/>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8445" w:type="dxa"/>
            <w:vAlign w:val="center"/>
          </w:tcPr>
          <w:p>
            <w:pPr>
              <w:spacing w:line="360" w:lineRule="auto"/>
              <w:ind w:left="210" w:leftChars="100"/>
              <w:jc w:val="center"/>
              <w:rPr>
                <w:rFonts w:ascii="宋体" w:hAnsi="宋体" w:cs="宋体"/>
                <w:color w:val="auto"/>
                <w:sz w:val="24"/>
                <w:highlight w:val="none"/>
              </w:rPr>
            </w:pPr>
            <w:r>
              <w:rPr>
                <w:rFonts w:hint="eastAsia" w:ascii="宋体" w:hAnsi="宋体" w:cs="宋体"/>
                <w:color w:val="auto"/>
                <w:sz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8445" w:type="dxa"/>
            <w:vAlign w:val="center"/>
          </w:tcPr>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采购人（甲方）名称：</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8445" w:type="dxa"/>
            <w:vAlign w:val="center"/>
          </w:tcPr>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供应商（乙方）：中标人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8445" w:type="dxa"/>
            <w:vAlign w:val="center"/>
          </w:tcPr>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交货期：自合同签订之日起</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日历天内完成交付。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8445" w:type="dxa"/>
            <w:vAlign w:val="center"/>
          </w:tcPr>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交货地点：采购人指定地点（年画印制完成后，由供应商按照双方合同签订的时间发送到全省各县（市、区），发放地点和配送数量由省退役军人事务厅负责提供）。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8445" w:type="dxa"/>
            <w:vAlign w:val="center"/>
          </w:tcPr>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质保期：自项目整体验收合格之日起30个工作日。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8445" w:type="dxa"/>
            <w:vAlign w:val="center"/>
          </w:tcPr>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付款程序及付款方式：</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1.合同总价即成交价，供应商在磋商报价中标明完成本次磋商所要求的货物且验收合格的所有费用。</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2、结算单位：采购人,在付款前必须开具发票给采购人。</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3、付款方式:</w:t>
            </w:r>
          </w:p>
          <w:p>
            <w:pPr>
              <w:numPr>
                <w:ilvl w:val="0"/>
                <w:numId w:val="3"/>
              </w:num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合同签订后7个工作日内，交付合同总价款的30%作为预付款。</w:t>
            </w:r>
          </w:p>
          <w:p>
            <w:pPr>
              <w:numPr>
                <w:ilvl w:val="0"/>
                <w:numId w:val="3"/>
              </w:num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所有产品交付并验收合格后。7个工作日内，支付合同总价款的70%。</w:t>
            </w:r>
          </w:p>
          <w:p>
            <w:pPr>
              <w:widowControl/>
              <w:numPr>
                <w:ilvl w:val="0"/>
                <w:numId w:val="3"/>
              </w:num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因临近年终，若时间上与陕西省退役军人事务厅或省财政厅封账期冲突，付款顺延至年后。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8445" w:type="dxa"/>
            <w:vAlign w:val="center"/>
          </w:tcPr>
          <w:p>
            <w:pPr>
              <w:widowControl/>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质量保证：</w:t>
            </w:r>
          </w:p>
          <w:p>
            <w:pPr>
              <w:ind w:left="210" w:leftChars="100"/>
              <w:rPr>
                <w:rFonts w:ascii="宋体" w:hAnsi="宋体" w:cs="宋体"/>
                <w:color w:val="auto"/>
                <w:sz w:val="24"/>
                <w:highlight w:val="none"/>
              </w:rPr>
            </w:pPr>
            <w:r>
              <w:rPr>
                <w:rFonts w:hint="eastAsia" w:ascii="宋体" w:hAnsi="宋体" w:cs="宋体"/>
                <w:color w:val="auto"/>
                <w:sz w:val="24"/>
                <w:highlight w:val="none"/>
              </w:rPr>
              <w:t>1、在货物质保期内、外，对由于产品工艺或材料缺陷而产生的质量问题供应商承担全责。</w:t>
            </w:r>
          </w:p>
          <w:p>
            <w:pPr>
              <w:ind w:left="210" w:leftChars="100"/>
              <w:rPr>
                <w:rFonts w:ascii="宋体" w:hAnsi="宋体" w:cs="宋体"/>
                <w:color w:val="auto"/>
                <w:sz w:val="24"/>
                <w:highlight w:val="none"/>
              </w:rPr>
            </w:pPr>
            <w:r>
              <w:rPr>
                <w:rFonts w:hint="eastAsia" w:ascii="宋体" w:hAnsi="宋体" w:cs="宋体"/>
                <w:color w:val="auto"/>
                <w:sz w:val="24"/>
                <w:highlight w:val="none"/>
              </w:rPr>
              <w:t>2、在质保期内。若发现所供货物在质量、规格、技术指标等方面存在于合同不相符的，采购人赢在最短时间内，以书面形式向成交供应商提出索赔，更换或退货赔偿。</w:t>
            </w:r>
          </w:p>
          <w:p>
            <w:pPr>
              <w:ind w:left="210" w:leftChars="100"/>
              <w:jc w:val="left"/>
              <w:rPr>
                <w:rFonts w:ascii="宋体" w:hAnsi="宋体" w:cs="宋体"/>
                <w:color w:val="auto"/>
                <w:sz w:val="24"/>
                <w:highlight w:val="none"/>
              </w:rPr>
            </w:pPr>
            <w:r>
              <w:rPr>
                <w:rFonts w:hint="eastAsia" w:ascii="宋体" w:hAnsi="宋体" w:cs="宋体"/>
                <w:color w:val="auto"/>
                <w:sz w:val="24"/>
                <w:highlight w:val="none"/>
              </w:rPr>
              <w:t>3、成交供应商应当保证所供货物的来源渠道正常，产品是全新的，未使用过的，且完全满足磋商文件要求。</w:t>
            </w:r>
          </w:p>
          <w:p>
            <w:pPr>
              <w:ind w:left="210" w:leftChars="100"/>
              <w:rPr>
                <w:rFonts w:ascii="宋体" w:hAnsi="宋体" w:cs="宋体"/>
                <w:color w:val="auto"/>
                <w:sz w:val="24"/>
                <w:highlight w:val="none"/>
              </w:rPr>
            </w:pPr>
            <w:r>
              <w:rPr>
                <w:rFonts w:hint="eastAsia" w:ascii="宋体" w:hAnsi="宋体" w:cs="宋体"/>
                <w:color w:val="auto"/>
                <w:sz w:val="24"/>
                <w:highlight w:val="none"/>
              </w:rPr>
              <w:t>4、所有印刷品的选材必须是国家优质产品，质量、规格满足竞争性磋商文件要求。保证色相正确、套印准确、裁切整齐、确保数量。</w:t>
            </w:r>
          </w:p>
          <w:p>
            <w:pPr>
              <w:ind w:left="210" w:leftChars="100"/>
              <w:rPr>
                <w:rFonts w:ascii="宋体" w:hAnsi="宋体" w:cs="宋体"/>
                <w:color w:val="auto"/>
                <w:sz w:val="24"/>
                <w:highlight w:val="none"/>
              </w:rPr>
            </w:pPr>
            <w:r>
              <w:rPr>
                <w:rFonts w:hint="eastAsia" w:ascii="宋体" w:hAnsi="宋体" w:cs="宋体"/>
                <w:color w:val="auto"/>
                <w:sz w:val="24"/>
                <w:highlight w:val="none"/>
              </w:rPr>
              <w:t>5、供应商免费负责更换印刷品在印制过程中出现印刷质量和外观缺陷的部分产品。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8445" w:type="dxa"/>
            <w:vAlign w:val="center"/>
          </w:tcPr>
          <w:p>
            <w:pPr>
              <w:ind w:left="210" w:leftChars="100"/>
              <w:rPr>
                <w:rFonts w:ascii="宋体" w:hAnsi="宋体" w:cs="宋体"/>
                <w:color w:val="auto"/>
                <w:sz w:val="24"/>
                <w:highlight w:val="none"/>
              </w:rPr>
            </w:pPr>
            <w:r>
              <w:rPr>
                <w:rFonts w:hint="eastAsia" w:ascii="宋体" w:hAnsi="宋体" w:cs="宋体"/>
                <w:color w:val="auto"/>
                <w:sz w:val="24"/>
                <w:highlight w:val="none"/>
              </w:rPr>
              <w:t>包装和运输：</w:t>
            </w:r>
          </w:p>
          <w:p>
            <w:pPr>
              <w:ind w:left="210" w:leftChars="100"/>
              <w:rPr>
                <w:rFonts w:ascii="宋体" w:hAnsi="宋体" w:cs="宋体"/>
                <w:color w:val="auto"/>
                <w:sz w:val="24"/>
                <w:highlight w:val="none"/>
              </w:rPr>
            </w:pPr>
            <w:r>
              <w:rPr>
                <w:rFonts w:hint="eastAsia" w:ascii="宋体" w:hAnsi="宋体" w:cs="宋体"/>
                <w:color w:val="auto"/>
                <w:sz w:val="24"/>
                <w:highlight w:val="none"/>
              </w:rPr>
              <w:t>1、包装应适应货物的特性和交通运输要求，以国家有关标准或企业标准或合同要求。成交供应商应承担由于包装。防护措施不妥引起的所有损失的责任和费用。</w:t>
            </w:r>
          </w:p>
          <w:p>
            <w:pPr>
              <w:ind w:left="210" w:leftChars="100"/>
              <w:rPr>
                <w:rFonts w:ascii="宋体" w:hAnsi="宋体" w:cs="宋体"/>
                <w:color w:val="auto"/>
                <w:sz w:val="24"/>
                <w:highlight w:val="none"/>
              </w:rPr>
            </w:pPr>
            <w:r>
              <w:rPr>
                <w:rFonts w:hint="eastAsia" w:ascii="宋体" w:hAnsi="宋体" w:cs="宋体"/>
                <w:color w:val="auto"/>
                <w:sz w:val="24"/>
                <w:highlight w:val="none"/>
              </w:rPr>
              <w:t>2、所供产品按货物特性和交通运输要求进行包装，并标明名称、规格、数量等。</w:t>
            </w:r>
          </w:p>
          <w:p>
            <w:pPr>
              <w:ind w:left="210" w:leftChars="100"/>
              <w:rPr>
                <w:rFonts w:ascii="宋体" w:hAnsi="宋体" w:cs="宋体"/>
                <w:color w:val="auto"/>
                <w:sz w:val="24"/>
                <w:highlight w:val="none"/>
              </w:rPr>
            </w:pPr>
            <w:r>
              <w:rPr>
                <w:rFonts w:hint="eastAsia" w:ascii="宋体" w:hAnsi="宋体" w:cs="宋体"/>
                <w:color w:val="auto"/>
                <w:sz w:val="24"/>
                <w:highlight w:val="none"/>
              </w:rPr>
              <w:t>3、成交供应商可根据交货期、运输条件自行选择运输方式（另有规定的除外），必须保证按期交货。运杂费一次包死，已包含在合同总价内，包括从产品供应地点到交货地点所包含的运输费、装卸费、保险费等相关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8445" w:type="dxa"/>
            <w:vAlign w:val="center"/>
          </w:tcPr>
          <w:p>
            <w:pPr>
              <w:widowControl/>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验收：</w:t>
            </w:r>
          </w:p>
          <w:p>
            <w:pPr>
              <w:pStyle w:val="11"/>
              <w:numPr>
                <w:ilvl w:val="0"/>
                <w:numId w:val="4"/>
              </w:numPr>
              <w:ind w:left="210" w:leftChars="100"/>
              <w:rPr>
                <w:rFonts w:ascii="宋体" w:hAnsi="宋体" w:cs="宋体"/>
                <w:color w:val="auto"/>
                <w:highlight w:val="none"/>
              </w:rPr>
            </w:pPr>
            <w:r>
              <w:rPr>
                <w:rFonts w:hint="eastAsia" w:ascii="宋体" w:hAnsi="宋体" w:cs="宋体"/>
                <w:color w:val="auto"/>
                <w:highlight w:val="none"/>
              </w:rPr>
              <w:t>供应商须配合采购人进行验收工作，以磋商时递交的样品作为验收依据。</w:t>
            </w:r>
          </w:p>
          <w:p>
            <w:pPr>
              <w:pStyle w:val="11"/>
              <w:ind w:left="210" w:leftChars="100"/>
              <w:rPr>
                <w:rFonts w:ascii="宋体" w:hAnsi="宋体" w:cs="宋体"/>
                <w:color w:val="auto"/>
                <w:highlight w:val="none"/>
              </w:rPr>
            </w:pPr>
            <w:r>
              <w:rPr>
                <w:rFonts w:hint="eastAsia" w:ascii="宋体" w:hAnsi="宋体" w:cs="宋体"/>
                <w:color w:val="auto"/>
                <w:highlight w:val="none"/>
              </w:rPr>
              <w:t>2、项目交货完成后采购人对货物进行随机抽查，共抽查50份，若</w:t>
            </w:r>
            <w:r>
              <w:rPr>
                <w:rFonts w:ascii="宋体" w:hAnsi="宋体" w:cs="宋体"/>
                <w:color w:val="auto"/>
                <w:highlight w:val="none"/>
              </w:rPr>
              <w:t>5</w:t>
            </w:r>
            <w:r>
              <w:rPr>
                <w:rFonts w:hint="eastAsia" w:ascii="宋体" w:hAnsi="宋体" w:cs="宋体"/>
                <w:color w:val="auto"/>
                <w:highlight w:val="none"/>
              </w:rPr>
              <w:t>份不合格视为项目验收不合格。</w:t>
            </w:r>
          </w:p>
          <w:p>
            <w:pPr>
              <w:pStyle w:val="11"/>
              <w:ind w:left="210" w:leftChars="100"/>
              <w:rPr>
                <w:rFonts w:ascii="宋体" w:hAnsi="宋体" w:cs="宋体"/>
                <w:color w:val="auto"/>
                <w:highlight w:val="none"/>
              </w:rPr>
            </w:pPr>
            <w:r>
              <w:rPr>
                <w:rFonts w:hint="eastAsia" w:ascii="宋体" w:hAnsi="宋体" w:cs="宋体"/>
                <w:color w:val="auto"/>
                <w:highlight w:val="none"/>
              </w:rPr>
              <w:t>3、若质保期内出现印刷质量、外观缺陷等不合格货物，累计出现5000份，视为项目验收不合格。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8445" w:type="dxa"/>
            <w:vAlign w:val="center"/>
          </w:tcPr>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知识产权：</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应保证磋商服务不会出现因第三方提出侵犯其专利权、商标权或其它知识产权而引发法律或经济纠纷，否则由供应商承担全部责任。任何被磋商单位用于未经授权的商业目的行为所造成的违约或侵权责任由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承但。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27"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8445" w:type="dxa"/>
            <w:vAlign w:val="center"/>
          </w:tcPr>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违约责任：</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按《合同法》中的相关条款执行。</w:t>
            </w:r>
          </w:p>
          <w:p>
            <w:pPr>
              <w:spacing w:line="360" w:lineRule="auto"/>
              <w:ind w:left="210" w:leftChars="100"/>
              <w:rPr>
                <w:rFonts w:ascii="宋体" w:hAnsi="宋体" w:cs="宋体"/>
                <w:color w:val="auto"/>
                <w:sz w:val="24"/>
                <w:highlight w:val="none"/>
              </w:rPr>
            </w:pPr>
            <w:r>
              <w:rPr>
                <w:rFonts w:hint="eastAsia" w:ascii="宋体" w:hAnsi="宋体" w:cs="宋体"/>
                <w:color w:val="auto"/>
                <w:sz w:val="24"/>
                <w:highlight w:val="none"/>
              </w:rPr>
              <w:t>未按合同或磋商文件要求提供服务或供应的服务质量不能满足采购人要求，采购单位有权终止合同，甚至对磋商单位违约行为进行追究。</w:t>
            </w:r>
          </w:p>
        </w:tc>
      </w:tr>
    </w:tbl>
    <w:p>
      <w:pPr>
        <w:rPr>
          <w:color w:val="auto"/>
          <w:sz w:val="24"/>
          <w:highlight w:val="none"/>
        </w:rPr>
      </w:pPr>
      <w:r>
        <w:rPr>
          <w:rFonts w:hint="eastAsia" w:ascii="宋体" w:hAnsi="宋体" w:cs="宋体"/>
          <w:color w:val="auto"/>
          <w:highlight w:val="none"/>
        </w:rPr>
        <w:t xml:space="preserve">  </w:t>
      </w:r>
      <w:r>
        <w:rPr>
          <w:rFonts w:hint="eastAsia" w:ascii="宋体" w:hAnsi="宋体" w:cs="宋体"/>
          <w:b/>
          <w:color w:val="auto"/>
          <w:highlight w:val="none"/>
        </w:rPr>
        <w:t xml:space="preserve"> </w:t>
      </w:r>
      <w:r>
        <w:rPr>
          <w:rFonts w:hint="eastAsia"/>
          <w:color w:val="auto"/>
          <w:sz w:val="24"/>
          <w:highlight w:val="none"/>
        </w:rPr>
        <w:t>本表是对合同条款的具体补充和修改，如有矛盾，应以本资料表为准。</w:t>
      </w:r>
    </w:p>
    <w:p>
      <w:pPr>
        <w:spacing w:line="360" w:lineRule="auto"/>
        <w:rPr>
          <w:color w:val="auto"/>
          <w:highlight w:val="none"/>
        </w:rPr>
      </w:pPr>
    </w:p>
    <w:p>
      <w:pPr>
        <w:spacing w:before="158" w:beforeLines="50" w:line="360" w:lineRule="auto"/>
        <w:jc w:val="center"/>
        <w:rPr>
          <w:rFonts w:ascii="宋体" w:hAnsi="宋体"/>
          <w:b/>
          <w:color w:val="auto"/>
          <w:sz w:val="36"/>
          <w:szCs w:val="36"/>
          <w:highlight w:val="none"/>
        </w:rPr>
      </w:pPr>
    </w:p>
    <w:p>
      <w:pPr>
        <w:rPr>
          <w:color w:val="auto"/>
          <w:highlight w:val="none"/>
        </w:rPr>
      </w:pPr>
    </w:p>
    <w:p>
      <w:pPr>
        <w:jc w:val="center"/>
        <w:rPr>
          <w:rFonts w:ascii="宋体" w:hAnsi="宋体"/>
          <w:b/>
          <w:bCs/>
          <w:color w:val="auto"/>
          <w:sz w:val="36"/>
          <w:szCs w:val="36"/>
          <w:highlight w:val="none"/>
        </w:rPr>
      </w:pPr>
      <w:r>
        <w:rPr>
          <w:rFonts w:hint="eastAsia" w:ascii="宋体" w:hAnsi="宋体"/>
          <w:b/>
          <w:color w:val="auto"/>
          <w:sz w:val="36"/>
          <w:szCs w:val="36"/>
          <w:highlight w:val="none"/>
        </w:rPr>
        <w:t>合同示范文本</w:t>
      </w:r>
    </w:p>
    <w:p>
      <w:pPr>
        <w:spacing w:line="360" w:lineRule="auto"/>
        <w:rPr>
          <w:rFonts w:ascii="宋体" w:hAnsi="宋体" w:cs="宋体"/>
          <w:b/>
          <w:color w:val="auto"/>
          <w:sz w:val="30"/>
          <w:szCs w:val="30"/>
          <w:highlight w:val="none"/>
        </w:rPr>
      </w:pPr>
    </w:p>
    <w:p>
      <w:pPr>
        <w:spacing w:line="360" w:lineRule="auto"/>
        <w:rPr>
          <w:color w:val="auto"/>
          <w:highlight w:val="none"/>
        </w:rPr>
      </w:pPr>
    </w:p>
    <w:p>
      <w:pPr>
        <w:spacing w:line="360" w:lineRule="auto"/>
        <w:rPr>
          <w:color w:val="auto"/>
          <w:sz w:val="28"/>
          <w:highlight w:val="none"/>
        </w:rPr>
      </w:pPr>
    </w:p>
    <w:p>
      <w:pPr>
        <w:spacing w:line="360" w:lineRule="auto"/>
        <w:jc w:val="center"/>
        <w:rPr>
          <w:color w:val="auto"/>
          <w:sz w:val="28"/>
          <w:highlight w:val="none"/>
        </w:rPr>
      </w:pPr>
    </w:p>
    <w:p>
      <w:pPr>
        <w:spacing w:line="360" w:lineRule="auto"/>
        <w:ind w:firstLine="1800" w:firstLineChars="500"/>
        <w:rPr>
          <w:color w:val="auto"/>
          <w:sz w:val="36"/>
          <w:szCs w:val="36"/>
          <w:highlight w:val="none"/>
        </w:rPr>
      </w:pPr>
      <w:r>
        <w:rPr>
          <w:rFonts w:hint="eastAsia"/>
          <w:color w:val="auto"/>
          <w:sz w:val="36"/>
          <w:szCs w:val="36"/>
          <w:highlight w:val="none"/>
        </w:rPr>
        <w:t>项目名称</w:t>
      </w:r>
    </w:p>
    <w:p>
      <w:pPr>
        <w:pStyle w:val="14"/>
        <w:spacing w:line="360" w:lineRule="auto"/>
        <w:ind w:firstLine="560" w:firstLineChars="200"/>
        <w:jc w:val="center"/>
        <w:rPr>
          <w:rFonts w:ascii="仿宋" w:hAnsi="仿宋"/>
          <w:color w:val="auto"/>
          <w:sz w:val="28"/>
          <w:szCs w:val="44"/>
          <w:highlight w:val="none"/>
        </w:rPr>
      </w:pPr>
    </w:p>
    <w:p>
      <w:pPr>
        <w:pStyle w:val="14"/>
        <w:spacing w:line="360" w:lineRule="auto"/>
        <w:ind w:firstLine="560" w:firstLineChars="200"/>
        <w:jc w:val="center"/>
        <w:rPr>
          <w:rFonts w:ascii="仿宋" w:hAnsi="仿宋"/>
          <w:color w:val="auto"/>
          <w:sz w:val="28"/>
          <w:szCs w:val="44"/>
          <w:highlight w:val="none"/>
        </w:rPr>
      </w:pPr>
    </w:p>
    <w:p>
      <w:pPr>
        <w:spacing w:line="360" w:lineRule="auto"/>
        <w:jc w:val="center"/>
        <w:rPr>
          <w:b/>
          <w:color w:val="auto"/>
          <w:sz w:val="48"/>
          <w:szCs w:val="48"/>
          <w:highlight w:val="none"/>
        </w:rPr>
      </w:pPr>
      <w:r>
        <w:rPr>
          <w:rFonts w:hint="eastAsia"/>
          <w:b/>
          <w:color w:val="auto"/>
          <w:sz w:val="48"/>
          <w:szCs w:val="48"/>
          <w:highlight w:val="none"/>
        </w:rPr>
        <w:t>合　　同</w:t>
      </w:r>
    </w:p>
    <w:p>
      <w:pPr>
        <w:pStyle w:val="14"/>
        <w:spacing w:line="360" w:lineRule="auto"/>
        <w:ind w:firstLine="560" w:firstLineChars="200"/>
        <w:rPr>
          <w:rFonts w:ascii="仿宋" w:hAnsi="仿宋"/>
          <w:color w:val="auto"/>
          <w:sz w:val="28"/>
          <w:szCs w:val="44"/>
          <w:highlight w:val="none"/>
        </w:rPr>
      </w:pPr>
    </w:p>
    <w:p>
      <w:pPr>
        <w:pStyle w:val="14"/>
        <w:spacing w:line="360" w:lineRule="auto"/>
        <w:ind w:firstLine="560" w:firstLineChars="200"/>
        <w:rPr>
          <w:rFonts w:ascii="仿宋" w:hAnsi="仿宋"/>
          <w:color w:val="auto"/>
          <w:sz w:val="28"/>
          <w:szCs w:val="44"/>
          <w:highlight w:val="none"/>
        </w:rPr>
      </w:pPr>
    </w:p>
    <w:p>
      <w:pPr>
        <w:spacing w:line="360" w:lineRule="auto"/>
        <w:rPr>
          <w:color w:val="auto"/>
          <w:sz w:val="28"/>
          <w:highlight w:val="none"/>
        </w:rPr>
      </w:pPr>
    </w:p>
    <w:p>
      <w:pPr>
        <w:spacing w:line="360" w:lineRule="auto"/>
        <w:ind w:firstLine="2520" w:firstLineChars="900"/>
        <w:rPr>
          <w:color w:val="auto"/>
          <w:sz w:val="28"/>
          <w:highlight w:val="none"/>
        </w:rPr>
      </w:pPr>
    </w:p>
    <w:p>
      <w:pPr>
        <w:spacing w:line="360" w:lineRule="auto"/>
        <w:ind w:firstLine="2520" w:firstLineChars="900"/>
        <w:rPr>
          <w:color w:val="auto"/>
          <w:sz w:val="28"/>
          <w:highlight w:val="none"/>
        </w:rPr>
      </w:pPr>
      <w:r>
        <w:rPr>
          <w:rFonts w:hint="eastAsia"/>
          <w:color w:val="auto"/>
          <w:sz w:val="28"/>
          <w:highlight w:val="none"/>
        </w:rPr>
        <w:t>合同编号：</w:t>
      </w:r>
      <w:r>
        <w:rPr>
          <w:color w:val="auto"/>
          <w:sz w:val="28"/>
          <w:highlight w:val="none"/>
        </w:rPr>
        <w:t>____________________</w:t>
      </w:r>
    </w:p>
    <w:p>
      <w:pPr>
        <w:spacing w:line="360" w:lineRule="auto"/>
        <w:rPr>
          <w:color w:val="auto"/>
          <w:sz w:val="28"/>
          <w:highlight w:val="none"/>
        </w:rPr>
      </w:pPr>
    </w:p>
    <w:p>
      <w:pPr>
        <w:spacing w:line="360" w:lineRule="auto"/>
        <w:ind w:firstLine="2520" w:firstLineChars="900"/>
        <w:rPr>
          <w:color w:val="auto"/>
          <w:sz w:val="28"/>
          <w:highlight w:val="none"/>
        </w:rPr>
      </w:pPr>
      <w:r>
        <w:rPr>
          <w:rFonts w:hint="eastAsia"/>
          <w:color w:val="auto"/>
          <w:sz w:val="28"/>
          <w:highlight w:val="none"/>
        </w:rPr>
        <w:t>甲　　方：</w:t>
      </w:r>
      <w:r>
        <w:rPr>
          <w:color w:val="auto"/>
          <w:sz w:val="28"/>
          <w:highlight w:val="none"/>
        </w:rPr>
        <w:t>____________________(</w:t>
      </w:r>
      <w:r>
        <w:rPr>
          <w:rFonts w:hint="eastAsia"/>
          <w:color w:val="auto"/>
          <w:sz w:val="28"/>
          <w:highlight w:val="none"/>
        </w:rPr>
        <w:t>采购人名称</w:t>
      </w:r>
      <w:r>
        <w:rPr>
          <w:color w:val="auto"/>
          <w:sz w:val="28"/>
          <w:highlight w:val="none"/>
        </w:rPr>
        <w:t>)</w:t>
      </w:r>
    </w:p>
    <w:p>
      <w:pPr>
        <w:spacing w:line="360" w:lineRule="auto"/>
        <w:rPr>
          <w:color w:val="auto"/>
          <w:sz w:val="28"/>
          <w:highlight w:val="none"/>
        </w:rPr>
      </w:pPr>
    </w:p>
    <w:p>
      <w:pPr>
        <w:spacing w:line="360" w:lineRule="auto"/>
        <w:rPr>
          <w:color w:val="auto"/>
          <w:sz w:val="28"/>
          <w:highlight w:val="none"/>
        </w:rPr>
      </w:pPr>
      <w:r>
        <w:rPr>
          <w:rFonts w:hint="eastAsia"/>
          <w:color w:val="auto"/>
          <w:sz w:val="28"/>
          <w:highlight w:val="none"/>
        </w:rPr>
        <w:t xml:space="preserve">                  乙　 方：</w:t>
      </w:r>
      <w:r>
        <w:rPr>
          <w:color w:val="auto"/>
          <w:sz w:val="28"/>
          <w:highlight w:val="none"/>
        </w:rPr>
        <w:t>____________________(</w:t>
      </w:r>
      <w:r>
        <w:rPr>
          <w:rFonts w:hint="eastAsia"/>
          <w:color w:val="auto"/>
          <w:sz w:val="28"/>
          <w:highlight w:val="none"/>
        </w:rPr>
        <w:t>中标人名称</w:t>
      </w:r>
      <w:r>
        <w:rPr>
          <w:color w:val="auto"/>
          <w:sz w:val="28"/>
          <w:highlight w:val="none"/>
        </w:rPr>
        <w:t>)</w:t>
      </w:r>
    </w:p>
    <w:p>
      <w:pPr>
        <w:spacing w:line="360" w:lineRule="auto"/>
        <w:ind w:firstLine="560" w:firstLineChars="200"/>
        <w:rPr>
          <w:rFonts w:ascii="宋体" w:hAnsi="宋体" w:cs="宋体"/>
          <w:color w:val="auto"/>
          <w:sz w:val="24"/>
          <w:highlight w:val="none"/>
        </w:rPr>
      </w:pPr>
      <w:r>
        <w:rPr>
          <w:color w:val="auto"/>
          <w:sz w:val="28"/>
          <w:highlight w:val="none"/>
        </w:rPr>
        <w:br w:type="page"/>
      </w:r>
      <w:r>
        <w:rPr>
          <w:rFonts w:hint="eastAsia" w:ascii="宋体" w:hAnsi="宋体" w:cs="宋体"/>
          <w:color w:val="auto"/>
          <w:sz w:val="24"/>
          <w:highlight w:val="none"/>
        </w:rPr>
        <w:t>根据《中华人民共和国政府采购法》、《中华人民共和国合同法》等有关法律法规规定，____________(采购人名称)(以下简称：“甲方”)通过______采购(采购方式)确定______(中标人名称)(以下简称：“乙方”)为______项目(项目名称)的______</w:t>
      </w:r>
      <w:r>
        <w:rPr>
          <w:rFonts w:hint="eastAsia" w:ascii="宋体" w:hAnsi="宋体" w:cs="宋体"/>
          <w:color w:val="auto"/>
          <w:kern w:val="0"/>
          <w:sz w:val="24"/>
          <w:highlight w:val="none"/>
        </w:rPr>
        <w:t>投标人</w:t>
      </w:r>
      <w:r>
        <w:rPr>
          <w:rFonts w:hint="eastAsia" w:ascii="宋体" w:hAnsi="宋体" w:cs="宋体"/>
          <w:color w:val="auto"/>
          <w:sz w:val="24"/>
          <w:highlight w:val="none"/>
        </w:rPr>
        <w:t>。甲乙双方同意签署《______项目(项目名称)合同》(合同编号：______，以下简称：“合同”)。</w:t>
      </w:r>
    </w:p>
    <w:p>
      <w:pPr>
        <w:spacing w:line="360" w:lineRule="auto"/>
        <w:rPr>
          <w:rFonts w:ascii="宋体" w:hAnsi="宋体" w:cs="宋体"/>
          <w:color w:val="auto"/>
          <w:sz w:val="24"/>
          <w:highlight w:val="none"/>
        </w:rPr>
      </w:pPr>
      <w:r>
        <w:rPr>
          <w:rFonts w:hint="eastAsia" w:ascii="宋体" w:hAnsi="宋体" w:cs="宋体"/>
          <w:color w:val="auto"/>
          <w:sz w:val="24"/>
          <w:highlight w:val="none"/>
        </w:rPr>
        <w:t>1.合同文件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下列文件是构成本合同不可分割的部分：</w:t>
      </w:r>
    </w:p>
    <w:p>
      <w:pPr>
        <w:spacing w:line="360" w:lineRule="auto"/>
        <w:rPr>
          <w:rFonts w:ascii="宋体" w:hAnsi="宋体" w:cs="宋体"/>
          <w:color w:val="auto"/>
          <w:sz w:val="24"/>
          <w:highlight w:val="none"/>
        </w:rPr>
      </w:pPr>
      <w:r>
        <w:rPr>
          <w:rFonts w:hint="eastAsia" w:ascii="宋体" w:hAnsi="宋体" w:cs="宋体"/>
          <w:color w:val="auto"/>
          <w:sz w:val="24"/>
          <w:highlight w:val="none"/>
        </w:rPr>
        <w:t>(1)合同条款；</w:t>
      </w:r>
    </w:p>
    <w:p>
      <w:pPr>
        <w:spacing w:line="360" w:lineRule="auto"/>
        <w:rPr>
          <w:rFonts w:ascii="宋体" w:hAnsi="宋体" w:cs="宋体"/>
          <w:color w:val="auto"/>
          <w:sz w:val="24"/>
          <w:highlight w:val="none"/>
        </w:rPr>
      </w:pPr>
      <w:r>
        <w:rPr>
          <w:rFonts w:hint="eastAsia" w:ascii="宋体" w:hAnsi="宋体" w:cs="宋体"/>
          <w:color w:val="auto"/>
          <w:sz w:val="24"/>
          <w:highlight w:val="none"/>
        </w:rPr>
        <w:t>(2) 成交通知书；</w:t>
      </w:r>
    </w:p>
    <w:p>
      <w:pPr>
        <w:spacing w:line="360" w:lineRule="auto"/>
        <w:rPr>
          <w:rFonts w:ascii="宋体" w:hAnsi="宋体" w:cs="宋体"/>
          <w:color w:val="auto"/>
          <w:sz w:val="24"/>
          <w:highlight w:val="none"/>
        </w:rPr>
      </w:pPr>
      <w:r>
        <w:rPr>
          <w:rFonts w:hint="eastAsia" w:ascii="宋体" w:hAnsi="宋体" w:cs="宋体"/>
          <w:color w:val="auto"/>
          <w:sz w:val="24"/>
          <w:highlight w:val="none"/>
        </w:rPr>
        <w:t>(3) 磋商文件；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(4)响应文件；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(5)其他(根据实际情况需要增加的内容)。</w:t>
      </w:r>
    </w:p>
    <w:p>
      <w:pPr>
        <w:spacing w:line="360" w:lineRule="auto"/>
        <w:rPr>
          <w:rFonts w:ascii="宋体" w:hAnsi="宋体" w:cs="宋体"/>
          <w:color w:val="auto"/>
          <w:sz w:val="24"/>
          <w:highlight w:val="none"/>
        </w:rPr>
      </w:pPr>
      <w:r>
        <w:rPr>
          <w:rFonts w:hint="eastAsia" w:ascii="宋体" w:hAnsi="宋体" w:cs="宋体"/>
          <w:color w:val="auto"/>
          <w:sz w:val="24"/>
          <w:highlight w:val="none"/>
        </w:rPr>
        <w:t>组成合同的各项文件应互相解释，互为说明。合同文件的解释优先顺序以上述文件先后顺序为准。</w:t>
      </w:r>
    </w:p>
    <w:p>
      <w:pPr>
        <w:spacing w:line="360" w:lineRule="auto"/>
        <w:rPr>
          <w:rFonts w:ascii="宋体" w:hAnsi="宋体" w:cs="宋体"/>
          <w:color w:val="auto"/>
          <w:sz w:val="24"/>
          <w:highlight w:val="none"/>
        </w:rPr>
      </w:pPr>
      <w:r>
        <w:rPr>
          <w:rFonts w:hint="eastAsia" w:ascii="宋体" w:hAnsi="宋体" w:cs="宋体"/>
          <w:color w:val="auto"/>
          <w:sz w:val="24"/>
          <w:highlight w:val="none"/>
        </w:rPr>
        <w:t>2.合同主要标的及数量</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乙方应按照合同的规定，提供本项目《招标(采购)文件》中有关要求的产品及服务，包括但不限于以下内容：</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308"/>
        <w:gridCol w:w="996"/>
        <w:gridCol w:w="996"/>
        <w:gridCol w:w="99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0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名称</w:t>
            </w:r>
          </w:p>
        </w:tc>
        <w:tc>
          <w:tcPr>
            <w:tcW w:w="9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单价</w:t>
            </w:r>
          </w:p>
        </w:tc>
        <w:tc>
          <w:tcPr>
            <w:tcW w:w="99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数量</w:t>
            </w:r>
          </w:p>
        </w:tc>
        <w:tc>
          <w:tcPr>
            <w:tcW w:w="9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小计</w:t>
            </w:r>
          </w:p>
        </w:tc>
        <w:tc>
          <w:tcPr>
            <w:tcW w:w="995"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996" w:type="dxa"/>
            <w:vAlign w:val="center"/>
          </w:tcPr>
          <w:p>
            <w:pPr>
              <w:pStyle w:val="4"/>
              <w:rPr>
                <w:rFonts w:ascii="宋体" w:hAnsi="宋体" w:cs="宋体"/>
                <w:color w:val="auto"/>
                <w:sz w:val="24"/>
                <w:szCs w:val="24"/>
                <w:highlight w:val="none"/>
              </w:rPr>
            </w:pPr>
          </w:p>
        </w:tc>
        <w:tc>
          <w:tcPr>
            <w:tcW w:w="4308" w:type="dxa"/>
            <w:vAlign w:val="center"/>
          </w:tcPr>
          <w:p>
            <w:pPr>
              <w:spacing w:line="360" w:lineRule="auto"/>
              <w:rPr>
                <w:rFonts w:ascii="宋体" w:hAnsi="宋体" w:cs="宋体"/>
                <w:color w:val="auto"/>
                <w:sz w:val="24"/>
                <w:highlight w:val="none"/>
              </w:rPr>
            </w:pPr>
          </w:p>
        </w:tc>
        <w:tc>
          <w:tcPr>
            <w:tcW w:w="996" w:type="dxa"/>
            <w:vAlign w:val="center"/>
          </w:tcPr>
          <w:p>
            <w:pPr>
              <w:spacing w:line="360" w:lineRule="auto"/>
              <w:rPr>
                <w:rFonts w:ascii="宋体" w:hAnsi="宋体" w:cs="宋体"/>
                <w:color w:val="auto"/>
                <w:sz w:val="24"/>
                <w:highlight w:val="none"/>
              </w:rPr>
            </w:pPr>
          </w:p>
        </w:tc>
        <w:tc>
          <w:tcPr>
            <w:tcW w:w="996" w:type="dxa"/>
            <w:vAlign w:val="center"/>
          </w:tcPr>
          <w:p>
            <w:pPr>
              <w:spacing w:line="360" w:lineRule="auto"/>
              <w:rPr>
                <w:rFonts w:ascii="宋体" w:hAnsi="宋体" w:cs="宋体"/>
                <w:color w:val="auto"/>
                <w:sz w:val="24"/>
                <w:highlight w:val="none"/>
              </w:rPr>
            </w:pPr>
          </w:p>
        </w:tc>
        <w:tc>
          <w:tcPr>
            <w:tcW w:w="995" w:type="dxa"/>
            <w:vAlign w:val="center"/>
          </w:tcPr>
          <w:p>
            <w:pPr>
              <w:spacing w:line="360" w:lineRule="auto"/>
              <w:rPr>
                <w:rFonts w:ascii="宋体" w:hAnsi="宋体" w:cs="宋体"/>
                <w:color w:val="auto"/>
                <w:sz w:val="24"/>
                <w:highlight w:val="none"/>
              </w:rPr>
            </w:pPr>
          </w:p>
        </w:tc>
        <w:tc>
          <w:tcPr>
            <w:tcW w:w="995" w:type="dxa"/>
            <w:vAlign w:val="center"/>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4" w:type="dxa"/>
            <w:gridSpan w:val="2"/>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合计</w:t>
            </w:r>
          </w:p>
        </w:tc>
        <w:tc>
          <w:tcPr>
            <w:tcW w:w="996" w:type="dxa"/>
            <w:vAlign w:val="center"/>
          </w:tcPr>
          <w:p>
            <w:pPr>
              <w:spacing w:line="360" w:lineRule="auto"/>
              <w:rPr>
                <w:rFonts w:ascii="宋体" w:hAnsi="宋体" w:cs="宋体"/>
                <w:color w:val="auto"/>
                <w:sz w:val="24"/>
                <w:highlight w:val="none"/>
              </w:rPr>
            </w:pPr>
          </w:p>
        </w:tc>
        <w:tc>
          <w:tcPr>
            <w:tcW w:w="996" w:type="dxa"/>
            <w:vAlign w:val="center"/>
          </w:tcPr>
          <w:p>
            <w:pPr>
              <w:spacing w:line="360" w:lineRule="auto"/>
              <w:rPr>
                <w:rFonts w:ascii="宋体" w:hAnsi="宋体" w:cs="宋体"/>
                <w:color w:val="auto"/>
                <w:sz w:val="24"/>
                <w:highlight w:val="none"/>
              </w:rPr>
            </w:pPr>
          </w:p>
        </w:tc>
        <w:tc>
          <w:tcPr>
            <w:tcW w:w="995" w:type="dxa"/>
            <w:vAlign w:val="center"/>
          </w:tcPr>
          <w:p>
            <w:pPr>
              <w:spacing w:line="360" w:lineRule="auto"/>
              <w:rPr>
                <w:rFonts w:ascii="宋体" w:hAnsi="宋体" w:cs="宋体"/>
                <w:color w:val="auto"/>
                <w:sz w:val="24"/>
                <w:highlight w:val="none"/>
              </w:rPr>
            </w:pPr>
          </w:p>
        </w:tc>
        <w:tc>
          <w:tcPr>
            <w:tcW w:w="995" w:type="dxa"/>
            <w:vAlign w:val="center"/>
          </w:tcPr>
          <w:p>
            <w:pPr>
              <w:spacing w:line="360" w:lineRule="auto"/>
              <w:rPr>
                <w:rFonts w:ascii="宋体" w:hAnsi="宋体" w:cs="宋体"/>
                <w:color w:val="auto"/>
                <w:sz w:val="24"/>
                <w:highlight w:val="none"/>
              </w:rPr>
            </w:pP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3.合同总金额及付款方式</w:t>
      </w:r>
    </w:p>
    <w:p>
      <w:pPr>
        <w:spacing w:line="360" w:lineRule="auto"/>
        <w:rPr>
          <w:rFonts w:ascii="宋体" w:hAnsi="宋体" w:cs="宋体"/>
          <w:color w:val="auto"/>
          <w:sz w:val="24"/>
          <w:highlight w:val="none"/>
        </w:rPr>
      </w:pPr>
      <w:r>
        <w:rPr>
          <w:rFonts w:hint="eastAsia" w:ascii="宋体" w:hAnsi="宋体" w:cs="宋体"/>
          <w:color w:val="auto"/>
          <w:sz w:val="24"/>
          <w:highlight w:val="none"/>
        </w:rPr>
        <w:t>3.1合同总金额</w:t>
      </w:r>
    </w:p>
    <w:p>
      <w:pPr>
        <w:spacing w:line="360" w:lineRule="auto"/>
        <w:rPr>
          <w:rFonts w:ascii="宋体" w:hAnsi="宋体" w:cs="宋体"/>
          <w:color w:val="auto"/>
          <w:sz w:val="24"/>
          <w:highlight w:val="none"/>
        </w:rPr>
      </w:pPr>
      <w:r>
        <w:rPr>
          <w:rFonts w:hint="eastAsia" w:ascii="宋体" w:hAnsi="宋体" w:cs="宋体"/>
          <w:color w:val="auto"/>
          <w:sz w:val="24"/>
          <w:highlight w:val="none"/>
        </w:rPr>
        <w:t>本合同总金额为人民币______元(￥______)。本项目包括但不限于税费、运输、保险、装卸等合同中规定乙方应承担的其他义务的费用已由乙方计入本合同总金额中。</w:t>
      </w:r>
    </w:p>
    <w:p>
      <w:pPr>
        <w:spacing w:line="360" w:lineRule="auto"/>
        <w:rPr>
          <w:rFonts w:ascii="宋体" w:hAnsi="宋体" w:cs="宋体"/>
          <w:color w:val="auto"/>
          <w:sz w:val="24"/>
          <w:highlight w:val="none"/>
        </w:rPr>
      </w:pPr>
      <w:r>
        <w:rPr>
          <w:rFonts w:hint="eastAsia" w:ascii="宋体" w:hAnsi="宋体" w:cs="宋体"/>
          <w:color w:val="auto"/>
          <w:sz w:val="24"/>
          <w:highlight w:val="none"/>
        </w:rPr>
        <w:t>3.2付款方式：</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1.合同总价即成交价，成交人应在磋商报价中标明完成本次磋商所要求的货物且验收合格的所有费用。</w:t>
      </w:r>
    </w:p>
    <w:p>
      <w:pPr>
        <w:spacing w:line="360" w:lineRule="auto"/>
        <w:rPr>
          <w:rFonts w:ascii="宋体" w:hAnsi="宋体" w:cs="宋体"/>
          <w:color w:val="auto"/>
          <w:sz w:val="24"/>
          <w:highlight w:val="none"/>
        </w:rPr>
      </w:pPr>
      <w:r>
        <w:rPr>
          <w:rFonts w:hint="eastAsia" w:ascii="宋体" w:hAnsi="宋体" w:cs="宋体"/>
          <w:color w:val="auto"/>
          <w:sz w:val="24"/>
          <w:highlight w:val="none"/>
        </w:rPr>
        <w:t>2.合同总价一次包死，不受市场价变化或实际工作量变化的影响。</w:t>
      </w:r>
    </w:p>
    <w:p>
      <w:pPr>
        <w:spacing w:line="360" w:lineRule="auto"/>
        <w:rPr>
          <w:rFonts w:ascii="宋体" w:hAnsi="宋体" w:cs="宋体"/>
          <w:color w:val="auto"/>
          <w:sz w:val="24"/>
          <w:highlight w:val="none"/>
        </w:rPr>
      </w:pPr>
      <w:r>
        <w:rPr>
          <w:rFonts w:hint="eastAsia" w:ascii="宋体" w:hAnsi="宋体" w:cs="宋体"/>
          <w:color w:val="auto"/>
          <w:sz w:val="24"/>
          <w:highlight w:val="none"/>
        </w:rPr>
        <w:t>3.付款方式和程序：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付款程序及付款方式：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1.合同总价即成交价，中标人应在投标报价中标明完成本次磋商所要求的货物且验收合格的所有费用。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2.合同总价一次包死，不受市场价变化或实际工作量变化的影响。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3.由采购人负责结算，在付款前，成交人必须开具全额发票给采购人。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付款方式:</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1)结算单位：采购人,在付款前必须开具发票给采购人。</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2)付款方式:</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1、合同签订后7个工作日内，交付合同总价款的30%作为预付款。</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2、所有产品交付并验收合格后。7个工作日内，支付合同总价款的70&amp;。</w:t>
      </w:r>
    </w:p>
    <w:p>
      <w:pPr>
        <w:spacing w:line="360" w:lineRule="auto"/>
        <w:ind w:left="420" w:leftChars="200"/>
        <w:rPr>
          <w:rFonts w:ascii="宋体" w:hAnsi="宋体" w:cs="宋体"/>
          <w:color w:val="auto"/>
          <w:sz w:val="24"/>
          <w:highlight w:val="none"/>
        </w:rPr>
      </w:pPr>
      <w:r>
        <w:rPr>
          <w:rFonts w:hint="eastAsia" w:ascii="宋体" w:hAnsi="宋体" w:cs="宋体"/>
          <w:color w:val="auto"/>
          <w:sz w:val="24"/>
          <w:highlight w:val="none"/>
        </w:rPr>
        <w:t>3、因临近年纪，若时间上与西省退役军人事务厅或省财政厅封账期冲突，付款顺延至年后。</w:t>
      </w:r>
    </w:p>
    <w:p>
      <w:pPr>
        <w:spacing w:line="360" w:lineRule="auto"/>
        <w:rPr>
          <w:rFonts w:ascii="宋体" w:hAnsi="宋体" w:cs="宋体"/>
          <w:color w:val="auto"/>
          <w:sz w:val="24"/>
          <w:highlight w:val="none"/>
        </w:rPr>
      </w:pPr>
      <w:r>
        <w:rPr>
          <w:rFonts w:hint="eastAsia" w:ascii="宋体" w:hAnsi="宋体" w:cs="宋体"/>
          <w:color w:val="auto"/>
          <w:sz w:val="24"/>
          <w:highlight w:val="none"/>
        </w:rPr>
        <w:t>注：乙方应于甲方付款前向甲方开具全额发票。因乙方迟延开票，甲方有权拒不付款且不承担任何责任。</w:t>
      </w:r>
    </w:p>
    <w:p>
      <w:pPr>
        <w:spacing w:line="360" w:lineRule="auto"/>
        <w:rPr>
          <w:rFonts w:ascii="宋体" w:hAnsi="宋体" w:cs="宋体"/>
          <w:color w:val="auto"/>
          <w:sz w:val="24"/>
          <w:highlight w:val="none"/>
        </w:rPr>
      </w:pPr>
      <w:r>
        <w:rPr>
          <w:rFonts w:hint="eastAsia" w:ascii="宋体" w:hAnsi="宋体" w:cs="宋体"/>
          <w:color w:val="auto"/>
          <w:sz w:val="24"/>
          <w:highlight w:val="none"/>
        </w:rPr>
        <w:t>4.合同签订地：______</w:t>
      </w:r>
    </w:p>
    <w:p>
      <w:pPr>
        <w:spacing w:line="360" w:lineRule="auto"/>
        <w:rPr>
          <w:rFonts w:ascii="宋体" w:hAnsi="宋体" w:cs="宋体"/>
          <w:color w:val="auto"/>
          <w:sz w:val="24"/>
          <w:highlight w:val="none"/>
        </w:rPr>
      </w:pPr>
      <w:r>
        <w:rPr>
          <w:rFonts w:hint="eastAsia" w:ascii="宋体" w:hAnsi="宋体" w:cs="宋体"/>
          <w:color w:val="auto"/>
          <w:sz w:val="24"/>
          <w:highlight w:val="none"/>
        </w:rPr>
        <w:t>5.合同生效</w:t>
      </w:r>
    </w:p>
    <w:p>
      <w:pPr>
        <w:spacing w:line="360" w:lineRule="auto"/>
        <w:rPr>
          <w:rFonts w:ascii="宋体" w:hAnsi="宋体" w:cs="宋体"/>
          <w:color w:val="auto"/>
          <w:sz w:val="24"/>
          <w:highlight w:val="none"/>
        </w:rPr>
      </w:pPr>
      <w:r>
        <w:rPr>
          <w:rFonts w:hint="eastAsia" w:ascii="宋体" w:hAnsi="宋体" w:cs="宋体"/>
          <w:color w:val="auto"/>
          <w:sz w:val="24"/>
          <w:highlight w:val="none"/>
        </w:rPr>
        <w:t>本合同一式肆份，甲方执贰份、乙方执壹份、采购代理机构（见证方）执壹份。在甲、乙及见证方签字盖章后生效。</w:t>
      </w:r>
    </w:p>
    <w:p>
      <w:pPr>
        <w:spacing w:line="360" w:lineRule="auto"/>
        <w:rPr>
          <w:rFonts w:ascii="宋体" w:hAnsi="宋体" w:cs="宋体"/>
          <w:color w:val="auto"/>
          <w:sz w:val="24"/>
          <w:highlight w:val="none"/>
        </w:rPr>
      </w:pPr>
      <w:r>
        <w:rPr>
          <w:rFonts w:hint="eastAsia" w:ascii="宋体" w:hAnsi="宋体" w:cs="宋体"/>
          <w:color w:val="auto"/>
          <w:sz w:val="24"/>
          <w:highlight w:val="none"/>
        </w:rPr>
        <w:t>6.其他约定：见证方只见证合同金额。</w:t>
      </w:r>
    </w:p>
    <w:tbl>
      <w:tblPr>
        <w:tblStyle w:val="24"/>
        <w:tblW w:w="8804" w:type="dxa"/>
        <w:tblInd w:w="93" w:type="dxa"/>
        <w:tblLayout w:type="fixed"/>
        <w:tblCellMar>
          <w:top w:w="0" w:type="dxa"/>
          <w:left w:w="108" w:type="dxa"/>
          <w:bottom w:w="0" w:type="dxa"/>
          <w:right w:w="108" w:type="dxa"/>
        </w:tblCellMar>
      </w:tblPr>
      <w:tblGrid>
        <w:gridCol w:w="4551"/>
        <w:gridCol w:w="4253"/>
      </w:tblGrid>
      <w:tr>
        <w:tblPrEx>
          <w:tblCellMar>
            <w:top w:w="0" w:type="dxa"/>
            <w:left w:w="108" w:type="dxa"/>
            <w:bottom w:w="0" w:type="dxa"/>
            <w:right w:w="108" w:type="dxa"/>
          </w:tblCellMar>
        </w:tblPrEx>
        <w:trPr>
          <w:trHeight w:val="390" w:hRule="atLeast"/>
        </w:trPr>
        <w:tc>
          <w:tcPr>
            <w:tcW w:w="4551" w:type="dxa"/>
            <w:tcBorders>
              <w:top w:val="single" w:color="auto" w:sz="8" w:space="0"/>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甲  方</w:t>
            </w:r>
          </w:p>
        </w:tc>
        <w:tc>
          <w:tcPr>
            <w:tcW w:w="4253" w:type="dxa"/>
            <w:tcBorders>
              <w:top w:val="single" w:color="auto" w:sz="8" w:space="0"/>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乙  方</w:t>
            </w:r>
          </w:p>
        </w:tc>
      </w:tr>
      <w:tr>
        <w:tblPrEx>
          <w:tblCellMar>
            <w:top w:w="0" w:type="dxa"/>
            <w:left w:w="108" w:type="dxa"/>
            <w:bottom w:w="0" w:type="dxa"/>
            <w:right w:w="108" w:type="dxa"/>
          </w:tblCellMar>
        </w:tblPrEx>
        <w:trPr>
          <w:trHeight w:val="1393" w:hRule="atLeast"/>
        </w:trPr>
        <w:tc>
          <w:tcPr>
            <w:tcW w:w="4551" w:type="dxa"/>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（盖章）</w:t>
            </w:r>
          </w:p>
        </w:tc>
      </w:tr>
      <w:tr>
        <w:tblPrEx>
          <w:tblCellMar>
            <w:top w:w="0" w:type="dxa"/>
            <w:left w:w="108" w:type="dxa"/>
            <w:bottom w:w="0" w:type="dxa"/>
            <w:right w:w="108" w:type="dxa"/>
          </w:tblCellMar>
        </w:tblPrEx>
        <w:trPr>
          <w:trHeight w:val="390" w:hRule="atLeast"/>
        </w:trPr>
        <w:tc>
          <w:tcPr>
            <w:tcW w:w="4551" w:type="dxa"/>
            <w:tcBorders>
              <w:top w:val="nil"/>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地址：</w:t>
            </w:r>
          </w:p>
        </w:tc>
      </w:tr>
      <w:tr>
        <w:tblPrEx>
          <w:tblCellMar>
            <w:top w:w="0" w:type="dxa"/>
            <w:left w:w="108" w:type="dxa"/>
            <w:bottom w:w="0" w:type="dxa"/>
            <w:right w:w="108" w:type="dxa"/>
          </w:tblCellMar>
        </w:tblPrEx>
        <w:trPr>
          <w:trHeight w:val="390" w:hRule="atLeast"/>
        </w:trPr>
        <w:tc>
          <w:tcPr>
            <w:tcW w:w="4551" w:type="dxa"/>
            <w:tcBorders>
              <w:top w:val="nil"/>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邮编：</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邮编：</w:t>
            </w:r>
          </w:p>
        </w:tc>
      </w:tr>
      <w:tr>
        <w:tblPrEx>
          <w:tblCellMar>
            <w:top w:w="0" w:type="dxa"/>
            <w:left w:w="108" w:type="dxa"/>
            <w:bottom w:w="0" w:type="dxa"/>
            <w:right w:w="108" w:type="dxa"/>
          </w:tblCellMar>
        </w:tblPrEx>
        <w:trPr>
          <w:trHeight w:val="576" w:hRule="atLeast"/>
        </w:trPr>
        <w:tc>
          <w:tcPr>
            <w:tcW w:w="4551" w:type="dxa"/>
            <w:vMerge w:val="restart"/>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全权代表：（签字）</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法定代表人：</w:t>
            </w:r>
          </w:p>
        </w:tc>
      </w:tr>
      <w:tr>
        <w:tblPrEx>
          <w:tblCellMar>
            <w:top w:w="0" w:type="dxa"/>
            <w:left w:w="108" w:type="dxa"/>
            <w:bottom w:w="0" w:type="dxa"/>
            <w:right w:w="108" w:type="dxa"/>
          </w:tblCellMar>
        </w:tblPrEx>
        <w:trPr>
          <w:trHeight w:val="502" w:hRule="atLeast"/>
        </w:trPr>
        <w:tc>
          <w:tcPr>
            <w:tcW w:w="4551" w:type="dxa"/>
            <w:vMerge w:val="continue"/>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被授权代表：（签字）</w:t>
            </w:r>
          </w:p>
        </w:tc>
      </w:tr>
      <w:tr>
        <w:tblPrEx>
          <w:tblCellMar>
            <w:top w:w="0" w:type="dxa"/>
            <w:left w:w="108" w:type="dxa"/>
            <w:bottom w:w="0" w:type="dxa"/>
            <w:right w:w="108" w:type="dxa"/>
          </w:tblCellMar>
        </w:tblPrEx>
        <w:trPr>
          <w:trHeight w:val="390" w:hRule="atLeast"/>
        </w:trPr>
        <w:tc>
          <w:tcPr>
            <w:tcW w:w="4551" w:type="dxa"/>
            <w:tcBorders>
              <w:top w:val="nil"/>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电话：</w:t>
            </w:r>
          </w:p>
        </w:tc>
      </w:tr>
      <w:tr>
        <w:tblPrEx>
          <w:tblCellMar>
            <w:top w:w="0" w:type="dxa"/>
            <w:left w:w="108" w:type="dxa"/>
            <w:bottom w:w="0" w:type="dxa"/>
            <w:right w:w="108" w:type="dxa"/>
          </w:tblCellMar>
        </w:tblPrEx>
        <w:trPr>
          <w:trHeight w:val="390" w:hRule="atLeast"/>
        </w:trPr>
        <w:tc>
          <w:tcPr>
            <w:tcW w:w="4551" w:type="dxa"/>
            <w:vMerge w:val="restart"/>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r>
      <w:tr>
        <w:tblPrEx>
          <w:tblCellMar>
            <w:top w:w="0" w:type="dxa"/>
            <w:left w:w="108" w:type="dxa"/>
            <w:bottom w:w="0" w:type="dxa"/>
            <w:right w:w="108" w:type="dxa"/>
          </w:tblCellMar>
        </w:tblPrEx>
        <w:trPr>
          <w:trHeight w:val="390" w:hRule="atLeast"/>
        </w:trPr>
        <w:tc>
          <w:tcPr>
            <w:tcW w:w="4551" w:type="dxa"/>
            <w:vMerge w:val="continue"/>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开户银行：</w:t>
            </w:r>
          </w:p>
        </w:tc>
      </w:tr>
      <w:tr>
        <w:tblPrEx>
          <w:tblCellMar>
            <w:top w:w="0" w:type="dxa"/>
            <w:left w:w="108" w:type="dxa"/>
            <w:bottom w:w="0" w:type="dxa"/>
            <w:right w:w="108" w:type="dxa"/>
          </w:tblCellMar>
        </w:tblPrEx>
        <w:trPr>
          <w:trHeight w:val="390" w:hRule="atLeast"/>
        </w:trPr>
        <w:tc>
          <w:tcPr>
            <w:tcW w:w="4551" w:type="dxa"/>
            <w:vMerge w:val="continue"/>
            <w:tcBorders>
              <w:top w:val="nil"/>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账号:</w:t>
            </w:r>
          </w:p>
        </w:tc>
      </w:tr>
      <w:tr>
        <w:tblPrEx>
          <w:tblCellMar>
            <w:top w:w="0" w:type="dxa"/>
            <w:left w:w="108" w:type="dxa"/>
            <w:bottom w:w="0" w:type="dxa"/>
            <w:right w:w="108" w:type="dxa"/>
          </w:tblCellMar>
        </w:tblPrEx>
        <w:trPr>
          <w:trHeight w:val="390" w:hRule="atLeast"/>
        </w:trPr>
        <w:tc>
          <w:tcPr>
            <w:tcW w:w="4551" w:type="dxa"/>
            <w:tcBorders>
              <w:top w:val="nil"/>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     年   月   日</w:t>
            </w:r>
          </w:p>
        </w:tc>
        <w:tc>
          <w:tcPr>
            <w:tcW w:w="4253" w:type="dxa"/>
            <w:tcBorders>
              <w:top w:val="nil"/>
              <w:left w:val="nil"/>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     年   月   日</w:t>
            </w:r>
          </w:p>
        </w:tc>
      </w:tr>
      <w:tr>
        <w:tblPrEx>
          <w:tblCellMar>
            <w:top w:w="0" w:type="dxa"/>
            <w:left w:w="108" w:type="dxa"/>
            <w:bottom w:w="0" w:type="dxa"/>
            <w:right w:w="108" w:type="dxa"/>
          </w:tblCellMar>
        </w:tblPrEx>
        <w:trPr>
          <w:trHeight w:val="381" w:hRule="atLeast"/>
        </w:trPr>
        <w:tc>
          <w:tcPr>
            <w:tcW w:w="4551" w:type="dxa"/>
            <w:tcBorders>
              <w:top w:val="nil"/>
              <w:left w:val="single" w:color="auto" w:sz="8" w:space="0"/>
              <w:bottom w:val="nil"/>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见证方</w:t>
            </w: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270" w:hRule="atLeast"/>
        </w:trPr>
        <w:tc>
          <w:tcPr>
            <w:tcW w:w="4551" w:type="dxa"/>
            <w:vMerge w:val="restart"/>
            <w:tcBorders>
              <w:top w:val="single" w:color="auto" w:sz="8" w:space="0"/>
              <w:left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299" w:hRule="atLeast"/>
        </w:trPr>
        <w:tc>
          <w:tcPr>
            <w:tcW w:w="4551" w:type="dxa"/>
            <w:vMerge w:val="continue"/>
            <w:tcBorders>
              <w:left w:val="single" w:color="auto"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270" w:hRule="atLeast"/>
        </w:trPr>
        <w:tc>
          <w:tcPr>
            <w:tcW w:w="4551" w:type="dxa"/>
            <w:vMerge w:val="continue"/>
            <w:tcBorders>
              <w:left w:val="single" w:color="auto"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285" w:hRule="atLeast"/>
        </w:trPr>
        <w:tc>
          <w:tcPr>
            <w:tcW w:w="4551" w:type="dxa"/>
            <w:vMerge w:val="continue"/>
            <w:tcBorders>
              <w:left w:val="single" w:color="auto" w:sz="8" w:space="0"/>
              <w:bottom w:val="single" w:color="000000" w:sz="8" w:space="0"/>
              <w:right w:val="single" w:color="auto" w:sz="8" w:space="0"/>
            </w:tcBorders>
            <w:vAlign w:val="center"/>
          </w:tcPr>
          <w:p>
            <w:pPr>
              <w:spacing w:line="360" w:lineRule="auto"/>
              <w:rPr>
                <w:rFonts w:ascii="宋体" w:hAnsi="宋体" w:cs="宋体"/>
                <w:color w:val="auto"/>
                <w:kern w:val="0"/>
                <w:sz w:val="24"/>
                <w:highlight w:val="none"/>
              </w:rPr>
            </w:pP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r>
        <w:tblPrEx>
          <w:tblCellMar>
            <w:top w:w="0" w:type="dxa"/>
            <w:left w:w="108" w:type="dxa"/>
            <w:bottom w:w="0" w:type="dxa"/>
            <w:right w:w="108" w:type="dxa"/>
          </w:tblCellMar>
        </w:tblPrEx>
        <w:trPr>
          <w:trHeight w:val="512" w:hRule="atLeast"/>
        </w:trPr>
        <w:tc>
          <w:tcPr>
            <w:tcW w:w="4551" w:type="dxa"/>
            <w:tcBorders>
              <w:top w:val="nil"/>
              <w:left w:val="single" w:color="auto" w:sz="8" w:space="0"/>
              <w:bottom w:val="single" w:color="auto" w:sz="8" w:space="0"/>
              <w:right w:val="single" w:color="auto"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日期：     年   月   日</w:t>
            </w:r>
          </w:p>
        </w:tc>
        <w:tc>
          <w:tcPr>
            <w:tcW w:w="4253" w:type="dxa"/>
            <w:tcBorders>
              <w:top w:val="nil"/>
              <w:left w:val="nil"/>
              <w:bottom w:val="nil"/>
              <w:right w:val="nil"/>
            </w:tcBorders>
            <w:noWrap/>
            <w:vAlign w:val="center"/>
          </w:tcPr>
          <w:p>
            <w:pPr>
              <w:spacing w:line="360" w:lineRule="auto"/>
              <w:rPr>
                <w:rFonts w:ascii="宋体" w:hAnsi="宋体" w:cs="宋体"/>
                <w:color w:val="auto"/>
                <w:kern w:val="0"/>
                <w:sz w:val="24"/>
                <w:highlight w:val="none"/>
              </w:rPr>
            </w:pPr>
          </w:p>
        </w:tc>
      </w:tr>
    </w:tbl>
    <w:p>
      <w:pPr>
        <w:spacing w:line="360" w:lineRule="auto"/>
        <w:rPr>
          <w:rFonts w:ascii="宋体" w:hAnsi="宋体" w:cs="宋体"/>
          <w:color w:val="auto"/>
          <w:sz w:val="22"/>
          <w:szCs w:val="22"/>
          <w:highlight w:val="none"/>
        </w:rPr>
      </w:pPr>
      <w:r>
        <w:rPr>
          <w:rFonts w:hint="eastAsia" w:ascii="宋体" w:hAnsi="宋体" w:cs="宋体"/>
          <w:color w:val="auto"/>
          <w:sz w:val="22"/>
          <w:szCs w:val="22"/>
          <w:highlight w:val="none"/>
        </w:rPr>
        <w:t>　　</w:t>
      </w:r>
    </w:p>
    <w:p>
      <w:pPr>
        <w:rPr>
          <w:rFonts w:ascii="宋体" w:hAnsi="宋体" w:cs="宋体"/>
          <w:b/>
          <w:bCs/>
          <w:color w:val="auto"/>
          <w:sz w:val="22"/>
          <w:szCs w:val="22"/>
          <w:highlight w:val="none"/>
        </w:rPr>
      </w:pPr>
      <w:r>
        <w:rPr>
          <w:rFonts w:hint="eastAsia" w:ascii="宋体" w:hAnsi="宋体" w:cs="宋体"/>
          <w:color w:val="auto"/>
          <w:sz w:val="22"/>
          <w:szCs w:val="22"/>
          <w:highlight w:val="none"/>
        </w:rPr>
        <w:br w:type="page"/>
      </w:r>
      <w:r>
        <w:rPr>
          <w:rFonts w:hint="eastAsia" w:ascii="宋体" w:hAnsi="宋体" w:cs="宋体"/>
          <w:b/>
          <w:bCs/>
          <w:color w:val="auto"/>
          <w:sz w:val="28"/>
          <w:szCs w:val="28"/>
          <w:highlight w:val="none"/>
        </w:rPr>
        <w:t>一、合同条款</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合同条款前附表</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序号</w:t>
            </w:r>
          </w:p>
        </w:tc>
        <w:tc>
          <w:tcPr>
            <w:tcW w:w="855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合同名称：</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2</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甲方名称：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甲方地址：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甲方联系人：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3</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乙方开户银行名称：</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restart"/>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4</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见证方名称：陕西德仁招标有限公司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单位地址：西安市高新区沣惠南路20号华晶商务广场B座1幢2301室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28" w:type="dxa"/>
            <w:vMerge w:val="continue"/>
            <w:vAlign w:val="center"/>
          </w:tcPr>
          <w:p>
            <w:pPr>
              <w:pStyle w:val="14"/>
              <w:spacing w:line="360" w:lineRule="auto"/>
              <w:jc w:val="center"/>
              <w:rPr>
                <w:rFonts w:hAnsi="宋体" w:cs="宋体"/>
                <w:color w:val="auto"/>
                <w:sz w:val="24"/>
                <w:szCs w:val="24"/>
                <w:highlight w:val="none"/>
              </w:rPr>
            </w:pP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联系人：行政部       电话：029-85565073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5</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6</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交货时间及地点：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7</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8</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验收方式及标准：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9</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10</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11</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□违约金约定：</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□损失赔偿约定：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12</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误期赔偿费约定：如果乙方没有按照合同规定的时间交货和提供服务，甲方有权从货款或履约保证金中扣除误期赔偿费而不影响合同项下的其他补救方法。赔偿费按每日加收合同金额的0.5%(各单位可根据实际情况重新设定)计收，直至交货或提供服务为止。但误期赔偿费的最高限额不超过合同价的15%(各单位可根据实际情况重新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13</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合同履行期限：自合同生效之日起至合同全部权利义务履行完毕之日止。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28" w:type="dxa"/>
            <w:vAlign w:val="center"/>
          </w:tcPr>
          <w:p>
            <w:pPr>
              <w:pStyle w:val="14"/>
              <w:spacing w:line="360" w:lineRule="auto"/>
              <w:jc w:val="center"/>
              <w:rPr>
                <w:rFonts w:hAnsi="宋体" w:cs="宋体"/>
                <w:color w:val="auto"/>
                <w:sz w:val="24"/>
                <w:szCs w:val="24"/>
                <w:highlight w:val="none"/>
              </w:rPr>
            </w:pPr>
            <w:r>
              <w:rPr>
                <w:rFonts w:hint="eastAsia" w:hAnsi="宋体" w:cs="宋体"/>
                <w:color w:val="auto"/>
                <w:sz w:val="24"/>
                <w:szCs w:val="24"/>
                <w:highlight w:val="none"/>
              </w:rPr>
              <w:t>14</w:t>
            </w:r>
          </w:p>
        </w:tc>
        <w:tc>
          <w:tcPr>
            <w:tcW w:w="8558" w:type="dxa"/>
            <w:vAlign w:val="center"/>
          </w:tcPr>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合同纠纷的解决方式：</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首先通过双方协商解决，协商解决不成，则通过以下途径之一解决纠纷(请在方框内画“√”选择)：</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□提请______仲裁委员会按照仲裁程序在______(仲裁地)仲裁</w:t>
            </w:r>
          </w:p>
          <w:p>
            <w:pPr>
              <w:pStyle w:val="14"/>
              <w:spacing w:line="360" w:lineRule="auto"/>
              <w:jc w:val="left"/>
              <w:rPr>
                <w:rFonts w:hAnsi="宋体" w:cs="宋体"/>
                <w:color w:val="auto"/>
                <w:sz w:val="24"/>
                <w:szCs w:val="24"/>
                <w:highlight w:val="none"/>
              </w:rPr>
            </w:pPr>
            <w:r>
              <w:rPr>
                <w:rFonts w:hint="eastAsia" w:hAnsi="宋体" w:cs="宋体"/>
                <w:color w:val="auto"/>
                <w:sz w:val="24"/>
                <w:szCs w:val="24"/>
                <w:highlight w:val="none"/>
              </w:rPr>
              <w:t>□向甲方所在地人民法院提起诉讼</w:t>
            </w:r>
          </w:p>
        </w:tc>
      </w:tr>
    </w:tbl>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1.定义</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本合同下列术语应解释为：</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　“甲方”是指采购人。</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　“乙方”是指中标人。</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  “见证方”是指采购代理机构。</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　“合同”系指甲乙双方签署的、合同中载明的甲乙双方所达成的协议，包括所有的附件、附录和上述文件所提到的构成合同的所有文件。</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　“货物”是指根据本合同规定，乙方按照磋商(采购)文件、响应文件，向甲方提供符合要求的全部产品及所有有关的文件等。</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　“服务”是指根据本合同规定，乙方承担与货物有关的相关服务，包括但不限于运输、保险、装卸等服务及合同中规定乙方应承担的其他义务。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　除非特别指出，“天”均为自然天。</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　合同标的标准</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　乙方为甲方交付的货物及服务应符合</w:t>
      </w:r>
      <w:r>
        <w:rPr>
          <w:rFonts w:hint="eastAsia" w:hAnsi="宋体" w:cs="宋体"/>
          <w:color w:val="auto"/>
          <w:sz w:val="24"/>
          <w:szCs w:val="24"/>
          <w:highlight w:val="none"/>
          <w:lang w:eastAsia="zh-CN"/>
        </w:rPr>
        <w:t>磋商文件</w:t>
      </w:r>
      <w:r>
        <w:rPr>
          <w:rFonts w:hint="eastAsia" w:hAnsi="宋体" w:cs="宋体"/>
          <w:color w:val="auto"/>
          <w:sz w:val="24"/>
          <w:szCs w:val="24"/>
          <w:highlight w:val="none"/>
        </w:rPr>
        <w:t>所述的内容，如果没有提及适用标准，则应符合相应的国家标准。这些标准必须是有关机构发布的最新版本的标准。</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　除非技术要求中另有规定，计量单位均采用中华人民共和国法定计量单位。</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2.3　货物还应符合国家有关安全、环保、卫生的相关规定。</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　质量保证</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3.1　乙方应保证所供货物是全新的、未使用过的，并完全符合或高于合同要求的质量、规格和技术性能的要求。</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3.2　乙方应保证其货物在正常使用下，在其使用寿命期内具有满意的性能，或者没有因乙方的行为或疏忽而产生的缺陷。在货物最终交付验收后不少于合同规定或乙方承诺(两者以较长的为准)的质量保证期内，本保证保持有效。</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3.3　如果服务和交付物与合同不符或不符合甲方要求，或证实交付物是有缺陷的，包括潜在的缺陷或使用不符合要求的材料等，由此引起的全部费用由乙方承担。若以上原因导致或引起甲方损失及导致或引起第三方受到损害的，全部赔偿责任均应由乙方承担。</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3.4　在质量保证期内所发现的缺陷，甲方应尽快以书面形式通知乙方。</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3.5　乙方收到通知后应在本合同规定的响应时间内以合理的速度免费更换有缺陷的货物。</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3.6　在质量保证期内，如果货物的质量或规格与合同不符，或证实货物是有缺陷的，包括潜在的缺陷或使用不符合要求的材料等，甲方可以根据本合同第10.1条规定以书面形式向乙方提出补救措施或索赔。</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3.7　乙方在约定的时间内未能弥补缺陷，甲方可采取必要的补救措施，但其风险和费用将由乙方承担，甲方根据合同规定对乙方行使的其他权利不受影响。</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3.8　本合同的质量保证期见合同条款前附表。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4.包装要求</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　除合同另有规定外，乙方提供的全部货物均应按标准保护措施进行包装，这类包装应适应于远距离运输、防潮和防野蛮装卸，以确保货物安全无损运抵指定现场。</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4.2　乙方应承担由于其包装或防护措施不当而引起的货物损坏和丢失的任何损失责任和费用。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4.3　每一个包装箱内应附一份详细装箱单和质量证书。</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5.知识产权</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乙方应保证所提供的货物及服务免受第三方提出侵犯其知识产权(专利权、商标权、版权等)的起诉。如果甲方在使用乙方货物或货物的任何一部分过程中，第三方提出货物侵犯其专利权、工业设计权、使用权等知识产权，乙方应当修正以避免侵权。</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5.2　如果甲方在使用乙方货物或货物的任何一部分过程中，第三方指控侵犯其专利权、工业设计权、使用权等知识产权，乙方将自费为甲方、各采购人答辩，并支付法院最终判决的甲方应支付第三方的一切费用。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5.3　有关本项目的所有设计、文件的著作权属于甲方。乙方有保护甲方著作权的义务，并对在设计过程中所接触到的甲方的相关秘密有保密的义务。未经甲方书面同意，乙方不得将设计文件、成果另作其他商业用途或向任何第三方披露，不得将设计文件用于其他项目工程的建设，不得用于与本协议无关的工程。发生此类情况时，乙方应当赔偿甲方损失，甲方保留向乙方追偿的权利。</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6.权利瑕疵担保</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6.1　乙方保证对其出售的货物享有合法的权利。</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6.2　乙方保证在其出售的货物上不存在任何未曾向甲方透露的担保物权，如抵押权、质押权、留置权等。</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6.3　如甲方使用该货物构成上述侵权的，则由乙方承担全部责任。</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7.保密义务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7.1　甲乙双方在采购和履行合同过程中所获悉的对方属于保密的内容，双方均有保密义务。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8.交货与验收</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8.1　交货地点：合同条款前附表指定地点。</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8.2　交货时间：合同条款前附表指定时间。</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8.3　甲方在收到乙方交付的货物后应当及时组织验收。</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8.4　货物的表面瑕疵，甲方应在验收时当面提出；对质量问题有异议的应及时提出，并通知供应商进行更换。</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8.5　在验收过程中发现数量不足或有质量、技术等问题，乙方应按照合同要求采取补足、更换或退货等处理措施，并承担由此发生的一切费用和损失。</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8.6　甲方对货物进行检查验收合格后，应当及时履行验收手续。</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9.违约责任</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9.1　质量缺陷的补救措施和索赔</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如果乙方提供的产品不符合质量标准或存在产品质量缺陷，而甲方在合同条款规定的检验、验收和质量保证期内，根据法定质量检测部门出具的检验证书向乙方提出了索赔，乙方应按照甲方同意的下列一种或几种方式结合起来解决索赔事宜：</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①乙方同意退货并将货款退还给甲方，由此发生的一切费用和损失由乙方承担。如甲方以适当的条件和方法购买与未履约标的相类似的货物，乙方应负担新购买类似货物所超出的费用。</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②根据货物的质量状况以及甲方所遭受的损失，经过甲乙双方商定降低货物的价格。</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③乙方应在接到甲方通知后7日内负责采用符合合同规定的规格、质量和要求的货物来更换有缺陷的部分或修补缺陷部分，其费用由乙方负担。同时，乙方应在约定的质量保证期基础上相应延长更换货物的质量保证期。</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如果在甲方发出索赔通知后10日内乙方未作答复，上述索赔应视为已被乙方接受。如果乙方未能在甲方发出索赔通知后10日内或甲方同意延长的期限内，按照上述规定的任何一种方法采取补救措施，甲方有权从应付货款中扣除索赔金额或者没收履约保证金，如不足以弥补甲方损失的，甲方有权进一步要求乙方赔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9.2　迟延交货的违约责任</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(1)乙方应按照本合同规定的时间、地点交货和提供服务。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在履行合同过程中，如果乙方遇到可能妨碍按时交货和提供服务的情形时，应及时以书面形式将迟延的事实、可能迟延的期限和理由通知甲方。甲方在收到乙方通知后，应尽快对情况进行评价，并确定是否同意迟延交货时间或延期提供服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除甲乙双方另有约定外，如果乙方没有按照合同规定的时间交货和提供服务，甲方有权从货款、履约保证金中扣除或要求乙方另行支付误期赔偿费而不影响合同项下的其他补救方法。赔偿费每日按合同金额的0.5%(各单位可根据实际情况重新设定)计收，直至交货或提供服务为止。但误期赔偿费的最高限额不超过合同价的15%(各单位可根据实际情况重新设定)。</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(4)如果乙方迟延交货超过30日，甲方有权终止全部或部分合同，并依其认为适当的条件和方法购买与未交货物类似的货物，乙方应负担购买类似货物所超出的费用。但是，乙方应继续执行合同中未终止的部分。</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9.3　未履行合同义务的违约责任</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(1)守约方有权终止全部或部分合同。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(2)乙方违约的，甲方有权没收全额履约保证金。</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(3)由违约一方支付违约金，违约金标准见合同条款前附表(各单位可根据实际情况自行约定)。</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(4)违约金不足以弥补守约方实际损失、可预见或者应当预见的损失，由违约方全额予以赔偿。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10.不可抗力</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10.1　如果合同双方因不可抗力而导致合同实施延误或合同无法实施，不应该承担误期赔偿或不能履行合同义务的责任。</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10.2　本条所述的“不可抗力”系指那些双方不可预见、不可避免、不可克服的客观情况，但不包括双方的违约或疏忽。这些事件包括但不限于：战争、严重火灾、洪水、台风、地震等。</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11.合同纠纷的解决方式</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11.1　合同各方应通过友好协商，解决在执行合同过程中所发生的或与合同有关的一切争端。如协商30日内(根据实际情况设定)不能解决，可以按合同规定的方式提起仲裁或诉讼。</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11.2　仲裁裁决应为最终裁决，对双方均具有约束力。</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11.3　仲裁费除仲裁机关另有裁决外应由败诉方负担。</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11.4　诉讼应由甲方住所地人民法院管辖。财产保全担保保险费、财产保全申请费、律师代理费、差旅费、评估费、鉴定费及诉讼费等与仲裁或诉讼活动相关费用应由败诉方负担。</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11.5　如仲裁或诉讼事项不影响合同其他部分的履行，则在仲裁或诉讼期间，除正在进行仲裁或诉讼的部分外，合同的其他部分应继续执行。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12.合同修改或变更</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12.1　如无重大变故，甲方双方不得擅自变更合同。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12.2　如确需变更合同，甲乙双方应签署书面变更协议。变更协议为本合同不可分割的一部分。</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12.3　在不改变合同其他条款的前提下，甲方有权在合同价款10%的范围内追加与合同标的相同的货物或服务，并就此与乙方签订补充合同，乙方不得拒绝。</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13.合同中止</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13.1　合同在履行过程中，因采购计划调整，甲方可以要求中止履行，待计划确定后继续履行；合同履行过程中因</w:t>
      </w:r>
      <w:r>
        <w:rPr>
          <w:rFonts w:hint="eastAsia" w:hAnsi="宋体" w:cs="宋体"/>
          <w:color w:val="auto"/>
          <w:kern w:val="0"/>
          <w:sz w:val="24"/>
          <w:szCs w:val="24"/>
          <w:highlight w:val="none"/>
        </w:rPr>
        <w:t>投标人</w:t>
      </w:r>
      <w:r>
        <w:rPr>
          <w:rFonts w:hint="eastAsia" w:hAnsi="宋体" w:cs="宋体"/>
          <w:color w:val="auto"/>
          <w:sz w:val="24"/>
          <w:szCs w:val="24"/>
          <w:highlight w:val="none"/>
        </w:rPr>
        <w:t>就采购过程或结果提起投诉的，甲方认为有必要或财政部门责令中止的，应当中止合同的履行。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14.终止合同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14.1　若出现如下情形，在甲方对乙方违约行为而采取的任何补救措施不受影响的情况下，甲方可向乙方发出书面通知书，提出终止部分或全部合同：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(1)如果乙方未能在合同规定的期限或甲方同意延长的期限内提供货物或服务；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(2)如果乙方未能履行合同规定的其他任何义务，出现两次服务达不到承诺标准情况，甲方有权终止合同；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(3)如果甲方认为乙方在本合同的竞争或实施中有腐败和欺诈行为。</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14.2　如果甲方根据上述第15.1条的规定，终止了全部或部分合同，甲方可以适当的条件和方法购买乙方未能提供的货物或服务，乙方应对甲方购买类似货物或服务所超出的费用负责。同时，乙方应继续执行合同中未终止的部分。</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15.破产终止合同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15.1　如果乙方破产或无清偿能力，甲方可在任何时候以书面形式通知乙方终止合同而不给乙方补偿。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15.2　该终止行为将不损害或影响甲方已经采取或将要采取的任何行动或补救措施的权利。</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16.其他终止合同情况</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16.1　若合同继续履行将给甲方造成重大损失的，甲方可以终止合同而不给予乙方任何补偿。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16.2　乙方在执行合同的过程中发生重大事故，对履行合同有直接影响的，甲方可以终止合同而不给予乙方任何补偿。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16.3　甲方因重大变故取消或部分取消原来的采购任务，导致合同全部或部分内容无须继续履行的，可以终止合同而不给予乙方任何补偿。</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17.合同转让和分包</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17.1　乙方不得以任何形式将合同转包，或部分或全部转让其应履行的合同义务。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17.2　除经甲方事先书面同意外，乙方不得以任何形式将合同分包。</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18.适用法律</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18.1　本合同适用中华人民共和国现行法律、行政法规和规章，如合同条款与法律、行政法规和规章不一致的，按照法律、行政法规和规章修改本合同。</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19.合同语言</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19.1　本合同语言为中文。</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19.2　双方交换的与合同有关的信件和其他文件应用合同语言书写。</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20.合同生效</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20.1　本合同应在双方签字盖章和甲方收到乙方提供的履约保证金后生效。</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21.合同效力</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21.1　除本合同和甲乙双方书面签署的补充协议外，其他任何形式的双方约定和往来函件均不具有法律效力，对本项目无约束力。</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22.检查和审计</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22.1在本合同的履行过程中，甲方有权对乙方的合同履约情况进行阶段性检查，并对乙方投标时提供的相关资料进行复核。</w:t>
      </w:r>
    </w:p>
    <w:p>
      <w:pPr>
        <w:pStyle w:val="1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22.2　在本合同的履行过程中，如果甲乙双方发生争议或者乙方没有按照合同约定履行义务，乙方应允许甲方检查乙方与实施本合同有关的账户和记录，并由甲方指定的审计人员对其进行审计。</w:t>
      </w:r>
    </w:p>
    <w:p>
      <w:pPr>
        <w:rPr>
          <w:rFonts w:hAnsi="宋体" w:cs="宋体"/>
          <w:color w:val="auto"/>
          <w:sz w:val="22"/>
          <w:szCs w:val="22"/>
          <w:highlight w:val="none"/>
        </w:rPr>
      </w:pPr>
      <w:r>
        <w:rPr>
          <w:rFonts w:hint="eastAsia" w:hAnsi="宋体" w:cs="宋体"/>
          <w:color w:val="auto"/>
          <w:sz w:val="22"/>
          <w:szCs w:val="22"/>
          <w:highlight w:val="none"/>
        </w:rPr>
        <w:br w:type="page"/>
      </w:r>
    </w:p>
    <w:p>
      <w:pPr>
        <w:spacing w:line="360" w:lineRule="auto"/>
        <w:ind w:firstLine="2880" w:firstLineChars="1200"/>
        <w:jc w:val="left"/>
        <w:rPr>
          <w:rFonts w:ascii="宋体" w:hAnsi="宋体" w:cs="宋体"/>
          <w:color w:val="auto"/>
          <w:sz w:val="24"/>
          <w:highlight w:val="none"/>
        </w:rPr>
      </w:pPr>
    </w:p>
    <w:p>
      <w:pPr>
        <w:spacing w:line="360" w:lineRule="auto"/>
        <w:rPr>
          <w:rFonts w:ascii="宋体" w:hAnsi="宋体" w:cs="宋体"/>
          <w:color w:val="auto"/>
          <w:sz w:val="24"/>
          <w:highlight w:val="none"/>
        </w:rPr>
      </w:pPr>
    </w:p>
    <w:p>
      <w:pPr>
        <w:pStyle w:val="3"/>
        <w:rPr>
          <w:color w:val="auto"/>
          <w:highlight w:val="none"/>
        </w:rPr>
      </w:pPr>
      <w:bookmarkStart w:id="68" w:name="_Toc24257"/>
      <w:bookmarkStart w:id="69" w:name="_Toc27511"/>
      <w:r>
        <w:rPr>
          <w:rFonts w:hint="eastAsia"/>
          <w:color w:val="auto"/>
          <w:highlight w:val="none"/>
        </w:rPr>
        <w:t>第五部分  竞争性磋商响应文件格式</w:t>
      </w:r>
      <w:bookmarkEnd w:id="65"/>
      <w:bookmarkEnd w:id="66"/>
      <w:bookmarkEnd w:id="67"/>
      <w:bookmarkEnd w:id="68"/>
      <w:bookmarkEnd w:id="69"/>
    </w:p>
    <w:p>
      <w:pPr>
        <w:adjustRightInd w:val="0"/>
        <w:snapToGrid w:val="0"/>
        <w:spacing w:line="360" w:lineRule="auto"/>
        <w:ind w:right="600"/>
        <w:jc w:val="right"/>
        <w:rPr>
          <w:rFonts w:ascii="宋体" w:hAnsi="宋体" w:cs="宋体"/>
          <w:b/>
          <w:color w:val="auto"/>
          <w:sz w:val="18"/>
          <w:szCs w:val="18"/>
          <w:highlight w:val="none"/>
        </w:rPr>
      </w:pPr>
    </w:p>
    <w:p>
      <w:pPr>
        <w:adjustRightInd w:val="0"/>
        <w:snapToGrid w:val="0"/>
        <w:spacing w:line="360" w:lineRule="auto"/>
        <w:ind w:right="600"/>
        <w:jc w:val="right"/>
        <w:rPr>
          <w:rFonts w:ascii="宋体" w:hAnsi="宋体" w:cs="宋体"/>
          <w:b/>
          <w:color w:val="auto"/>
          <w:sz w:val="18"/>
          <w:szCs w:val="18"/>
          <w:highlight w:val="none"/>
        </w:rPr>
      </w:pPr>
      <w:bookmarkStart w:id="70" w:name="_Toc5592_WPSOffice_Level1"/>
      <w:bookmarkStart w:id="71" w:name="_Toc10930_WPSOffice_Level1"/>
      <w:bookmarkStart w:id="72" w:name="_Toc19196"/>
      <w:bookmarkStart w:id="73" w:name="_Toc25996_WPSOffice_Level1"/>
    </w:p>
    <w:p>
      <w:pPr>
        <w:adjustRightInd w:val="0"/>
        <w:snapToGrid w:val="0"/>
        <w:spacing w:line="360" w:lineRule="auto"/>
        <w:ind w:right="600"/>
        <w:jc w:val="right"/>
        <w:rPr>
          <w:rFonts w:ascii="宋体" w:hAnsi="宋体" w:cs="宋体"/>
          <w:b/>
          <w:color w:val="auto"/>
          <w:sz w:val="28"/>
          <w:szCs w:val="28"/>
          <w:highlight w:val="none"/>
        </w:rPr>
      </w:pPr>
      <w:r>
        <w:rPr>
          <w:rFonts w:hint="eastAsia" w:ascii="宋体" w:hAnsi="宋体" w:cs="宋体"/>
          <w:b/>
          <w:color w:val="auto"/>
          <w:sz w:val="28"/>
          <w:szCs w:val="28"/>
          <w:highlight w:val="none"/>
        </w:rPr>
        <w:t xml:space="preserve"> （正本或副本）</w:t>
      </w:r>
    </w:p>
    <w:p>
      <w:pPr>
        <w:wordWrap w:val="0"/>
        <w:spacing w:line="360" w:lineRule="auto"/>
        <w:ind w:right="980"/>
        <w:rPr>
          <w:rFonts w:ascii="宋体" w:hAnsi="宋体" w:cs="宋体"/>
          <w:b/>
          <w:color w:val="auto"/>
          <w:sz w:val="28"/>
          <w:szCs w:val="28"/>
          <w:highlight w:val="none"/>
        </w:rPr>
      </w:pPr>
      <w:r>
        <w:rPr>
          <w:rFonts w:hint="eastAsia" w:ascii="宋体" w:hAnsi="宋体" w:cs="宋体"/>
          <w:b/>
          <w:color w:val="auto"/>
          <w:sz w:val="28"/>
          <w:szCs w:val="28"/>
          <w:highlight w:val="none"/>
        </w:rPr>
        <w:t>项目编号：</w:t>
      </w:r>
    </w:p>
    <w:p>
      <w:pPr>
        <w:spacing w:line="360" w:lineRule="auto"/>
        <w:ind w:right="420"/>
        <w:jc w:val="right"/>
        <w:rPr>
          <w:rFonts w:ascii="宋体" w:hAnsi="宋体" w:cs="宋体"/>
          <w:b/>
          <w:color w:val="auto"/>
          <w:sz w:val="28"/>
          <w:szCs w:val="28"/>
          <w:highlight w:val="none"/>
        </w:rPr>
      </w:pPr>
    </w:p>
    <w:p>
      <w:pPr>
        <w:spacing w:line="360" w:lineRule="auto"/>
        <w:rPr>
          <w:rFonts w:ascii="宋体" w:hAnsi="宋体" w:cs="宋体"/>
          <w:b/>
          <w:color w:val="auto"/>
          <w:sz w:val="24"/>
          <w:highlight w:val="none"/>
        </w:rPr>
      </w:pPr>
    </w:p>
    <w:p>
      <w:pPr>
        <w:adjustRightInd w:val="0"/>
        <w:snapToGrid w:val="0"/>
        <w:spacing w:line="360" w:lineRule="auto"/>
        <w:jc w:val="center"/>
        <w:rPr>
          <w:rFonts w:ascii="宋体" w:hAnsi="宋体" w:cs="宋体"/>
          <w:bCs/>
          <w:color w:val="auto"/>
          <w:sz w:val="48"/>
          <w:szCs w:val="48"/>
          <w:highlight w:val="none"/>
        </w:rPr>
      </w:pPr>
      <w:r>
        <w:rPr>
          <w:rFonts w:hint="eastAsia" w:ascii="宋体" w:hAnsi="宋体" w:cs="宋体"/>
          <w:bCs/>
          <w:color w:val="auto"/>
          <w:sz w:val="48"/>
          <w:szCs w:val="48"/>
          <w:highlight w:val="none"/>
          <w:u w:val="single"/>
        </w:rPr>
        <w:t xml:space="preserve">                       </w:t>
      </w:r>
      <w:r>
        <w:rPr>
          <w:rFonts w:hint="eastAsia" w:ascii="宋体" w:hAnsi="宋体" w:cs="宋体"/>
          <w:bCs/>
          <w:color w:val="auto"/>
          <w:sz w:val="48"/>
          <w:szCs w:val="48"/>
          <w:highlight w:val="none"/>
        </w:rPr>
        <w:t>项目</w:t>
      </w:r>
    </w:p>
    <w:p>
      <w:pPr>
        <w:adjustRightInd w:val="0"/>
        <w:snapToGrid w:val="0"/>
        <w:spacing w:line="360" w:lineRule="auto"/>
        <w:jc w:val="center"/>
        <w:rPr>
          <w:rFonts w:ascii="宋体" w:hAnsi="宋体" w:cs="宋体"/>
          <w:bCs/>
          <w:color w:val="auto"/>
          <w:sz w:val="48"/>
          <w:szCs w:val="48"/>
          <w:highlight w:val="none"/>
        </w:rPr>
      </w:pPr>
    </w:p>
    <w:p>
      <w:pPr>
        <w:adjustRightInd w:val="0"/>
        <w:snapToGrid w:val="0"/>
        <w:spacing w:line="360" w:lineRule="auto"/>
        <w:jc w:val="center"/>
        <w:rPr>
          <w:rFonts w:ascii="宋体" w:hAnsi="宋体" w:cs="宋体"/>
          <w:bCs/>
          <w:color w:val="auto"/>
          <w:sz w:val="48"/>
          <w:szCs w:val="48"/>
          <w:highlight w:val="none"/>
        </w:rPr>
      </w:pPr>
    </w:p>
    <w:p>
      <w:pPr>
        <w:adjustRightInd w:val="0"/>
        <w:snapToGrid w:val="0"/>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竞争性磋商响应文件</w:t>
      </w:r>
    </w:p>
    <w:p>
      <w:pPr>
        <w:adjustRightInd w:val="0"/>
        <w:snapToGrid w:val="0"/>
        <w:spacing w:line="360" w:lineRule="auto"/>
        <w:jc w:val="center"/>
        <w:rPr>
          <w:rFonts w:ascii="宋体" w:hAnsi="宋体" w:cs="宋体"/>
          <w:b/>
          <w:color w:val="auto"/>
          <w:sz w:val="32"/>
          <w:szCs w:val="32"/>
          <w:highlight w:val="none"/>
        </w:rPr>
      </w:pPr>
    </w:p>
    <w:p>
      <w:pPr>
        <w:pStyle w:val="2"/>
        <w:ind w:firstLine="643"/>
        <w:rPr>
          <w:rFonts w:ascii="宋体" w:hAnsi="宋体" w:cs="宋体"/>
          <w:b/>
          <w:color w:val="auto"/>
          <w:sz w:val="32"/>
          <w:szCs w:val="32"/>
          <w:highlight w:val="none"/>
        </w:rPr>
      </w:pPr>
    </w:p>
    <w:p>
      <w:pPr>
        <w:pStyle w:val="2"/>
        <w:ind w:firstLine="643"/>
        <w:rPr>
          <w:rFonts w:ascii="宋体" w:hAnsi="宋体" w:cs="宋体"/>
          <w:b/>
          <w:color w:val="auto"/>
          <w:sz w:val="32"/>
          <w:szCs w:val="32"/>
          <w:highlight w:val="none"/>
        </w:rPr>
      </w:pPr>
    </w:p>
    <w:p>
      <w:pPr>
        <w:adjustRightInd w:val="0"/>
        <w:snapToGrid w:val="0"/>
        <w:spacing w:line="360" w:lineRule="auto"/>
        <w:jc w:val="center"/>
        <w:rPr>
          <w:rFonts w:ascii="宋体" w:hAnsi="宋体" w:cs="宋体"/>
          <w:b/>
          <w:color w:val="auto"/>
          <w:sz w:val="30"/>
          <w:highlight w:val="none"/>
        </w:rPr>
      </w:pPr>
    </w:p>
    <w:p>
      <w:pPr>
        <w:adjustRightInd w:val="0"/>
        <w:snapToGrid w:val="0"/>
        <w:spacing w:line="360" w:lineRule="auto"/>
        <w:jc w:val="center"/>
        <w:rPr>
          <w:rFonts w:ascii="宋体" w:hAnsi="宋体" w:cs="宋体"/>
          <w:b/>
          <w:color w:val="auto"/>
          <w:sz w:val="30"/>
          <w:highlight w:val="none"/>
        </w:rPr>
      </w:pPr>
    </w:p>
    <w:p>
      <w:pPr>
        <w:adjustRightInd w:val="0"/>
        <w:snapToGrid w:val="0"/>
        <w:spacing w:line="360" w:lineRule="auto"/>
        <w:rPr>
          <w:rFonts w:ascii="宋体" w:hAnsi="宋体" w:cs="宋体"/>
          <w:b/>
          <w:color w:val="auto"/>
          <w:sz w:val="30"/>
          <w:highlight w:val="none"/>
        </w:rPr>
      </w:pPr>
    </w:p>
    <w:p>
      <w:pPr>
        <w:spacing w:line="360" w:lineRule="auto"/>
        <w:ind w:firstLine="1807" w:firstLineChars="600"/>
        <w:rPr>
          <w:rFonts w:ascii="宋体" w:hAnsi="宋体" w:cs="宋体"/>
          <w:b/>
          <w:color w:val="auto"/>
          <w:sz w:val="30"/>
          <w:szCs w:val="30"/>
          <w:highlight w:val="none"/>
        </w:rPr>
      </w:pPr>
      <w:r>
        <w:rPr>
          <w:rFonts w:hint="eastAsia" w:ascii="宋体" w:hAnsi="宋体" w:cs="宋体"/>
          <w:b/>
          <w:color w:val="auto"/>
          <w:sz w:val="30"/>
          <w:szCs w:val="30"/>
          <w:highlight w:val="none"/>
        </w:rPr>
        <w:t>磋 商 人：</w:t>
      </w:r>
      <w:r>
        <w:rPr>
          <w:rFonts w:hint="eastAsia" w:ascii="宋体" w:hAnsi="宋体" w:cs="宋体"/>
          <w:b/>
          <w:color w:val="auto"/>
          <w:sz w:val="30"/>
          <w:szCs w:val="30"/>
          <w:highlight w:val="none"/>
          <w:u w:val="single"/>
        </w:rPr>
        <w:t xml:space="preserve">                    （盖章）</w:t>
      </w:r>
    </w:p>
    <w:p>
      <w:pPr>
        <w:spacing w:line="360" w:lineRule="auto"/>
        <w:ind w:firstLine="1807" w:firstLineChars="600"/>
        <w:rPr>
          <w:rFonts w:ascii="宋体" w:hAnsi="宋体" w:cs="宋体"/>
          <w:b/>
          <w:color w:val="auto"/>
          <w:sz w:val="30"/>
          <w:szCs w:val="30"/>
          <w:highlight w:val="none"/>
        </w:rPr>
      </w:pPr>
      <w:r>
        <w:rPr>
          <w:rFonts w:hint="eastAsia" w:ascii="宋体" w:hAnsi="宋体" w:cs="宋体"/>
          <w:b/>
          <w:color w:val="auto"/>
          <w:sz w:val="30"/>
          <w:szCs w:val="30"/>
          <w:highlight w:val="none"/>
        </w:rPr>
        <w:t>日    期：   二零一九年  月   日</w:t>
      </w:r>
    </w:p>
    <w:p>
      <w:pPr>
        <w:adjustRightInd w:val="0"/>
        <w:snapToGrid w:val="0"/>
        <w:spacing w:line="360" w:lineRule="auto"/>
        <w:rPr>
          <w:rFonts w:ascii="宋体" w:hAnsi="宋体" w:cs="宋体"/>
          <w:b/>
          <w:color w:val="auto"/>
          <w:sz w:val="19"/>
          <w:highlight w:val="none"/>
        </w:rPr>
      </w:pPr>
    </w:p>
    <w:p>
      <w:pPr>
        <w:spacing w:line="360" w:lineRule="auto"/>
        <w:ind w:left="120" w:hanging="120" w:hangingChars="50"/>
        <w:jc w:val="center"/>
        <w:rPr>
          <w:rFonts w:ascii="宋体" w:hAnsi="宋体" w:cs="宋体"/>
          <w:color w:val="auto"/>
          <w:sz w:val="24"/>
          <w:highlight w:val="none"/>
        </w:rPr>
      </w:pPr>
    </w:p>
    <w:p>
      <w:pPr>
        <w:spacing w:line="360" w:lineRule="auto"/>
        <w:ind w:left="120" w:hanging="120" w:hangingChars="50"/>
        <w:jc w:val="center"/>
        <w:rPr>
          <w:rFonts w:ascii="宋体" w:hAnsi="宋体" w:cs="宋体"/>
          <w:color w:val="auto"/>
          <w:sz w:val="24"/>
          <w:highlight w:val="none"/>
        </w:rPr>
      </w:pPr>
    </w:p>
    <w:p>
      <w:pPr>
        <w:spacing w:line="360" w:lineRule="auto"/>
        <w:jc w:val="center"/>
        <w:rPr>
          <w:rFonts w:ascii="宋体" w:hAnsi="宋体" w:cs="宋体"/>
          <w:b/>
          <w:bCs/>
          <w:color w:val="auto"/>
          <w:spacing w:val="4"/>
          <w:sz w:val="44"/>
          <w:szCs w:val="44"/>
          <w:highlight w:val="none"/>
        </w:rPr>
      </w:pPr>
      <w:r>
        <w:rPr>
          <w:rFonts w:hint="eastAsia" w:ascii="宋体" w:hAnsi="宋体" w:cs="宋体"/>
          <w:b/>
          <w:bCs/>
          <w:color w:val="auto"/>
          <w:spacing w:val="4"/>
          <w:sz w:val="44"/>
          <w:szCs w:val="44"/>
          <w:highlight w:val="none"/>
        </w:rPr>
        <w:t>目   录</w:t>
      </w:r>
    </w:p>
    <w:p>
      <w:pPr>
        <w:spacing w:line="360" w:lineRule="auto"/>
        <w:jc w:val="left"/>
        <w:rPr>
          <w:rFonts w:ascii="宋体" w:hAnsi="宋体" w:cs="宋体"/>
          <w:b/>
          <w:bCs/>
          <w:color w:val="auto"/>
          <w:spacing w:val="4"/>
          <w:sz w:val="30"/>
          <w:szCs w:val="30"/>
          <w:highlight w:val="none"/>
        </w:rPr>
      </w:pP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投标函…………………………………………（页码）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法定代表人身份证明…………………………（页码）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法人授权委托书………………………………（页码）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报价表…………………………………………（页码）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近年承接的类似项目情况表…………………（页码）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技术组织方案…………………………………（页码）</w:t>
      </w:r>
    </w:p>
    <w:p>
      <w:pPr>
        <w:ind w:left="420" w:leftChars="200"/>
        <w:rPr>
          <w:rFonts w:ascii="宋体" w:hAnsi="宋体" w:cs="宋体"/>
          <w:color w:val="auto"/>
          <w:sz w:val="28"/>
          <w:szCs w:val="28"/>
          <w:highlight w:val="none"/>
        </w:rPr>
      </w:pPr>
      <w:r>
        <w:rPr>
          <w:rFonts w:hint="eastAsia" w:ascii="宋体" w:hAnsi="宋体" w:cs="宋体"/>
          <w:color w:val="auto"/>
          <w:sz w:val="28"/>
          <w:szCs w:val="28"/>
          <w:highlight w:val="none"/>
        </w:rPr>
        <w:t>（自行增加二级目录）</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技术和商务响应说明…………………………（页码）</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资格证明文件…………………………………（页码）</w:t>
      </w:r>
    </w:p>
    <w:p>
      <w:pPr>
        <w:ind w:left="420" w:leftChars="200"/>
        <w:rPr>
          <w:rFonts w:ascii="宋体" w:hAnsi="宋体" w:cs="宋体"/>
          <w:color w:val="auto"/>
          <w:sz w:val="28"/>
          <w:szCs w:val="28"/>
          <w:highlight w:val="none"/>
        </w:rPr>
      </w:pPr>
      <w:r>
        <w:rPr>
          <w:rFonts w:hint="eastAsia" w:ascii="宋体" w:hAnsi="宋体" w:cs="宋体"/>
          <w:color w:val="auto"/>
          <w:sz w:val="28"/>
          <w:szCs w:val="28"/>
          <w:highlight w:val="none"/>
        </w:rPr>
        <w:t>（自行增加二级目录）</w:t>
      </w:r>
    </w:p>
    <w:p>
      <w:pPr>
        <w:numPr>
          <w:ilvl w:val="0"/>
          <w:numId w:val="5"/>
        </w:numPr>
        <w:spacing w:line="360" w:lineRule="auto"/>
        <w:ind w:left="420" w:leftChars="200" w:firstLine="0"/>
        <w:rPr>
          <w:rFonts w:ascii="宋体" w:hAnsi="宋体" w:cs="宋体"/>
          <w:color w:val="auto"/>
          <w:sz w:val="28"/>
          <w:szCs w:val="28"/>
          <w:highlight w:val="none"/>
        </w:rPr>
      </w:pPr>
      <w:r>
        <w:rPr>
          <w:rFonts w:hint="eastAsia" w:ascii="宋体" w:hAnsi="宋体" w:cs="宋体"/>
          <w:color w:val="auto"/>
          <w:sz w:val="28"/>
          <w:szCs w:val="28"/>
          <w:highlight w:val="none"/>
        </w:rPr>
        <w:t>其他资料………………………………………（页码）</w:t>
      </w:r>
    </w:p>
    <w:p>
      <w:pPr>
        <w:numPr>
          <w:ilvl w:val="0"/>
          <w:numId w:val="6"/>
        </w:numPr>
        <w:jc w:val="center"/>
        <w:rPr>
          <w:rFonts w:ascii="宋体" w:hAnsi="宋体" w:cs="宋体"/>
          <w:b/>
          <w:bCs/>
          <w:color w:val="auto"/>
          <w:sz w:val="28"/>
          <w:szCs w:val="28"/>
          <w:highlight w:val="none"/>
        </w:rPr>
      </w:pPr>
      <w:r>
        <w:rPr>
          <w:rFonts w:hint="eastAsia" w:ascii="宋体" w:hAnsi="宋体" w:cs="宋体"/>
          <w:bCs/>
          <w:color w:val="auto"/>
          <w:sz w:val="30"/>
          <w:szCs w:val="30"/>
          <w:highlight w:val="none"/>
        </w:rPr>
        <w:br w:type="page"/>
      </w:r>
      <w:r>
        <w:rPr>
          <w:rFonts w:hint="eastAsia" w:ascii="宋体" w:hAnsi="宋体" w:cs="宋体"/>
          <w:b/>
          <w:bCs/>
          <w:color w:val="auto"/>
          <w:sz w:val="28"/>
          <w:szCs w:val="28"/>
          <w:highlight w:val="none"/>
        </w:rPr>
        <w:t>磋商函</w:t>
      </w:r>
    </w:p>
    <w:p>
      <w:pPr>
        <w:spacing w:line="480" w:lineRule="auto"/>
        <w:rPr>
          <w:rFonts w:ascii="宋体" w:hAnsi="宋体" w:cs="宋体"/>
          <w:color w:val="auto"/>
          <w:sz w:val="24"/>
          <w:highlight w:val="none"/>
        </w:rPr>
      </w:pPr>
      <w:r>
        <w:rPr>
          <w:rFonts w:hint="eastAsia" w:ascii="宋体" w:hAnsi="宋体" w:cs="宋体"/>
          <w:color w:val="auto"/>
          <w:sz w:val="24"/>
          <w:highlight w:val="none"/>
        </w:rPr>
        <w:t>陕西德仁招标有限公司：</w:t>
      </w:r>
    </w:p>
    <w:p>
      <w:pPr>
        <w:autoSpaceDE w:val="0"/>
        <w:autoSpaceDN w:val="0"/>
        <w:adjustRightInd w:val="0"/>
        <w:spacing w:line="480" w:lineRule="auto"/>
        <w:ind w:firstLine="630"/>
        <w:rPr>
          <w:rFonts w:ascii="宋体" w:hAnsi="宋体" w:cs="宋体"/>
          <w:color w:val="auto"/>
          <w:sz w:val="24"/>
          <w:highlight w:val="none"/>
        </w:rPr>
      </w:pPr>
      <w:r>
        <w:rPr>
          <w:rFonts w:hint="eastAsia" w:ascii="宋体" w:hAnsi="宋体" w:cs="宋体"/>
          <w:color w:val="auto"/>
          <w:sz w:val="24"/>
          <w:highlight w:val="none"/>
          <w:lang w:val="zh-CN"/>
        </w:rPr>
        <w:t>我单位收到贵公司</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u w:val="single"/>
          <w:lang w:val="zh-CN"/>
        </w:rPr>
        <w:t>）</w:t>
      </w:r>
      <w:r>
        <w:rPr>
          <w:rFonts w:hint="eastAsia" w:ascii="宋体" w:hAnsi="宋体" w:cs="宋体"/>
          <w:color w:val="auto"/>
          <w:sz w:val="24"/>
          <w:highlight w:val="none"/>
        </w:rPr>
        <w:t>磋商</w:t>
      </w:r>
      <w:r>
        <w:rPr>
          <w:rFonts w:hint="eastAsia" w:ascii="宋体" w:hAnsi="宋体" w:cs="宋体"/>
          <w:color w:val="auto"/>
          <w:sz w:val="24"/>
          <w:highlight w:val="none"/>
          <w:lang w:val="zh-CN"/>
        </w:rPr>
        <w:t>文件，经详细研究，我们决定参加本次</w:t>
      </w:r>
      <w:r>
        <w:rPr>
          <w:rFonts w:hint="eastAsia" w:ascii="宋体" w:hAnsi="宋体" w:cs="宋体"/>
          <w:color w:val="auto"/>
          <w:sz w:val="24"/>
          <w:highlight w:val="none"/>
        </w:rPr>
        <w:t>磋商</w:t>
      </w:r>
      <w:r>
        <w:rPr>
          <w:rFonts w:hint="eastAsia" w:ascii="宋体" w:hAnsi="宋体" w:cs="宋体"/>
          <w:color w:val="auto"/>
          <w:sz w:val="24"/>
          <w:highlight w:val="none"/>
          <w:lang w:val="zh-CN"/>
        </w:rPr>
        <w:t>活动并投标。为此，我方郑重声明以下诸点，并负法律责任。</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、愿意按照</w:t>
      </w:r>
      <w:r>
        <w:rPr>
          <w:rFonts w:hint="eastAsia" w:ascii="宋体" w:hAnsi="宋体" w:cs="宋体"/>
          <w:color w:val="auto"/>
          <w:sz w:val="24"/>
          <w:highlight w:val="none"/>
        </w:rPr>
        <w:t>磋商</w:t>
      </w:r>
      <w:r>
        <w:rPr>
          <w:rFonts w:hint="eastAsia" w:ascii="宋体" w:hAnsi="宋体" w:cs="宋体"/>
          <w:color w:val="auto"/>
          <w:sz w:val="24"/>
          <w:highlight w:val="none"/>
          <w:lang w:val="zh-CN"/>
        </w:rPr>
        <w:t>文件中的一切要求，提供技术服务，完成合同的责任和义务。</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、按磋商文件的规定，我公司的报价为：</w:t>
      </w:r>
      <w:r>
        <w:rPr>
          <w:rFonts w:hint="eastAsia" w:ascii="宋体" w:hAnsi="宋体" w:cs="宋体"/>
          <w:color w:val="auto"/>
          <w:sz w:val="24"/>
          <w:highlight w:val="none"/>
          <w:u w:val="single"/>
        </w:rPr>
        <w:t xml:space="preserve">         元</w:t>
      </w:r>
      <w:r>
        <w:rPr>
          <w:rFonts w:hint="eastAsia" w:ascii="宋体" w:hAnsi="宋体" w:cs="宋体"/>
          <w:color w:val="auto"/>
          <w:sz w:val="24"/>
          <w:highlight w:val="none"/>
          <w:lang w:val="zh-CN"/>
        </w:rPr>
        <w:t>。</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zh-CN"/>
        </w:rPr>
        <w:t>、我方提交的响应文件正本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份、电子</w:t>
      </w:r>
      <w:r>
        <w:rPr>
          <w:rFonts w:hint="eastAsia" w:ascii="宋体" w:hAnsi="宋体" w:cs="宋体"/>
          <w:color w:val="auto"/>
          <w:sz w:val="24"/>
          <w:highlight w:val="none"/>
        </w:rPr>
        <w:t>版</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份。</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zh-CN"/>
        </w:rPr>
        <w:t>、我方已详细阅读了磋商文件，完全理解并放弃提出含糊不清或易形成歧义的表述和资料。</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zh-CN"/>
        </w:rPr>
        <w:t>、</w:t>
      </w:r>
      <w:r>
        <w:rPr>
          <w:rFonts w:hint="eastAsia" w:ascii="宋体" w:hAnsi="宋体" w:cs="宋体"/>
          <w:color w:val="auto"/>
          <w:sz w:val="24"/>
          <w:highlight w:val="none"/>
        </w:rPr>
        <w:t>磋商</w:t>
      </w:r>
      <w:r>
        <w:rPr>
          <w:rFonts w:hint="eastAsia" w:ascii="宋体" w:hAnsi="宋体" w:cs="宋体"/>
          <w:color w:val="auto"/>
          <w:sz w:val="24"/>
          <w:highlight w:val="none"/>
          <w:lang w:val="zh-CN"/>
        </w:rPr>
        <w:t>后在规定的有效期内撤回</w:t>
      </w:r>
      <w:r>
        <w:rPr>
          <w:rFonts w:hint="eastAsia" w:ascii="宋体" w:hAnsi="宋体" w:cs="宋体"/>
          <w:color w:val="auto"/>
          <w:sz w:val="24"/>
          <w:highlight w:val="none"/>
        </w:rPr>
        <w:t>磋商</w:t>
      </w:r>
      <w:r>
        <w:rPr>
          <w:rFonts w:hint="eastAsia" w:ascii="宋体" w:hAnsi="宋体" w:cs="宋体"/>
          <w:color w:val="auto"/>
          <w:sz w:val="24"/>
          <w:highlight w:val="none"/>
          <w:lang w:val="zh-CN"/>
        </w:rPr>
        <w:t>，我方愿接受政府采购的有关处罚决定。</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zh-CN"/>
        </w:rPr>
        <w:t>、同意向贵方提供可能要求的，与本次采购有关的任何证据或资料，且尊重</w:t>
      </w:r>
      <w:r>
        <w:rPr>
          <w:rFonts w:hint="eastAsia" w:ascii="宋体" w:hAnsi="宋体" w:cs="宋体"/>
          <w:color w:val="auto"/>
          <w:sz w:val="24"/>
          <w:highlight w:val="none"/>
        </w:rPr>
        <w:t>磋商小组</w:t>
      </w:r>
      <w:r>
        <w:rPr>
          <w:rFonts w:hint="eastAsia" w:ascii="宋体" w:hAnsi="宋体" w:cs="宋体"/>
          <w:color w:val="auto"/>
          <w:sz w:val="24"/>
          <w:highlight w:val="none"/>
          <w:lang w:val="zh-CN"/>
        </w:rPr>
        <w:t>的评审结论和结果。我们完全理解最低报价不作为</w:t>
      </w:r>
      <w:r>
        <w:rPr>
          <w:rFonts w:hint="eastAsia" w:ascii="宋体" w:hAnsi="宋体" w:cs="宋体"/>
          <w:color w:val="auto"/>
          <w:sz w:val="24"/>
          <w:highlight w:val="none"/>
        </w:rPr>
        <w:t>成交</w:t>
      </w:r>
      <w:r>
        <w:rPr>
          <w:rFonts w:hint="eastAsia" w:ascii="宋体" w:hAnsi="宋体" w:cs="宋体"/>
          <w:color w:val="auto"/>
          <w:sz w:val="24"/>
          <w:highlight w:val="none"/>
          <w:lang w:val="zh-CN"/>
        </w:rPr>
        <w:t>的唯一条件，且尊重</w:t>
      </w:r>
      <w:r>
        <w:rPr>
          <w:rFonts w:hint="eastAsia" w:ascii="宋体" w:hAnsi="宋体" w:cs="宋体"/>
          <w:color w:val="auto"/>
          <w:sz w:val="24"/>
          <w:highlight w:val="none"/>
        </w:rPr>
        <w:t>磋商小组</w:t>
      </w:r>
      <w:r>
        <w:rPr>
          <w:rFonts w:hint="eastAsia" w:ascii="宋体" w:hAnsi="宋体" w:cs="宋体"/>
          <w:color w:val="auto"/>
          <w:sz w:val="24"/>
          <w:highlight w:val="none"/>
          <w:lang w:val="zh-CN"/>
        </w:rPr>
        <w:t>的评审结论和</w:t>
      </w:r>
      <w:r>
        <w:rPr>
          <w:rFonts w:hint="eastAsia" w:ascii="宋体" w:hAnsi="宋体" w:cs="宋体"/>
          <w:color w:val="auto"/>
          <w:sz w:val="24"/>
          <w:highlight w:val="none"/>
        </w:rPr>
        <w:t>成交</w:t>
      </w:r>
      <w:r>
        <w:rPr>
          <w:rFonts w:hint="eastAsia" w:ascii="宋体" w:hAnsi="宋体" w:cs="宋体"/>
          <w:color w:val="auto"/>
          <w:sz w:val="24"/>
          <w:highlight w:val="none"/>
          <w:lang w:val="zh-CN"/>
        </w:rPr>
        <w:t>结果。</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、我方的响应文件在</w:t>
      </w:r>
      <w:r>
        <w:rPr>
          <w:rFonts w:hint="eastAsia" w:ascii="宋体" w:hAnsi="宋体" w:cs="宋体"/>
          <w:color w:val="auto"/>
          <w:sz w:val="24"/>
          <w:highlight w:val="none"/>
        </w:rPr>
        <w:t>磋商</w:t>
      </w:r>
      <w:r>
        <w:rPr>
          <w:rFonts w:hint="eastAsia" w:ascii="宋体" w:hAnsi="宋体" w:cs="宋体"/>
          <w:color w:val="auto"/>
          <w:sz w:val="24"/>
          <w:highlight w:val="none"/>
          <w:lang w:val="zh-CN"/>
        </w:rPr>
        <w:t>后有效期为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个日历天，若我方中标，响应文件有效期延长至合同执行完毕。</w:t>
      </w:r>
    </w:p>
    <w:p>
      <w:pPr>
        <w:autoSpaceDE w:val="0"/>
        <w:autoSpaceDN w:val="0"/>
        <w:adjustRightInd w:val="0"/>
        <w:snapToGrid w:val="0"/>
        <w:spacing w:line="480" w:lineRule="auto"/>
        <w:ind w:firstLine="629"/>
        <w:rPr>
          <w:rFonts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color w:val="auto"/>
          <w:sz w:val="24"/>
          <w:highlight w:val="none"/>
          <w:lang w:val="zh-CN"/>
        </w:rPr>
        <w:t>、有关于本响应文件的函电，请按下列地址联系。</w:t>
      </w:r>
    </w:p>
    <w:p>
      <w:pPr>
        <w:autoSpaceDE w:val="0"/>
        <w:autoSpaceDN w:val="0"/>
        <w:adjustRightInd w:val="0"/>
        <w:spacing w:line="460" w:lineRule="exact"/>
        <w:ind w:firstLine="720" w:firstLineChars="300"/>
        <w:rPr>
          <w:rFonts w:ascii="宋体" w:hAnsi="宋体" w:cs="宋体"/>
          <w:color w:val="auto"/>
          <w:sz w:val="24"/>
          <w:highlight w:val="none"/>
        </w:rPr>
      </w:pPr>
      <w:r>
        <w:rPr>
          <w:rFonts w:hint="eastAsia" w:ascii="宋体" w:hAnsi="宋体" w:cs="宋体"/>
          <w:color w:val="auto"/>
          <w:sz w:val="24"/>
          <w:highlight w:val="none"/>
          <w:lang w:val="zh-CN"/>
        </w:rPr>
        <w:t>供应商全称（印章）：</w:t>
      </w:r>
    </w:p>
    <w:p>
      <w:pPr>
        <w:autoSpaceDE w:val="0"/>
        <w:autoSpaceDN w:val="0"/>
        <w:adjustRightInd w:val="0"/>
        <w:spacing w:line="460" w:lineRule="exact"/>
        <w:ind w:firstLine="720" w:firstLineChars="300"/>
        <w:rPr>
          <w:rFonts w:ascii="宋体" w:hAnsi="宋体" w:cs="宋体"/>
          <w:color w:val="auto"/>
          <w:sz w:val="24"/>
          <w:highlight w:val="none"/>
        </w:rPr>
      </w:pPr>
      <w:r>
        <w:rPr>
          <w:rFonts w:hint="eastAsia" w:ascii="宋体" w:hAnsi="宋体" w:cs="宋体"/>
          <w:color w:val="auto"/>
          <w:sz w:val="24"/>
          <w:highlight w:val="none"/>
          <w:lang w:val="zh-CN"/>
        </w:rPr>
        <w:t>地址：</w:t>
      </w:r>
      <w:r>
        <w:rPr>
          <w:rFonts w:hint="eastAsia" w:ascii="宋体" w:hAnsi="宋体" w:cs="宋体"/>
          <w:color w:val="auto"/>
          <w:sz w:val="24"/>
          <w:highlight w:val="none"/>
        </w:rPr>
        <w:t>__________________________________________</w:t>
      </w:r>
    </w:p>
    <w:p>
      <w:pPr>
        <w:autoSpaceDE w:val="0"/>
        <w:autoSpaceDN w:val="0"/>
        <w:adjustRightInd w:val="0"/>
        <w:spacing w:line="460" w:lineRule="exact"/>
        <w:ind w:firstLine="720" w:firstLineChars="300"/>
        <w:rPr>
          <w:rFonts w:ascii="宋体" w:hAnsi="宋体" w:cs="宋体"/>
          <w:color w:val="auto"/>
          <w:sz w:val="24"/>
          <w:highlight w:val="none"/>
        </w:rPr>
      </w:pPr>
      <w:r>
        <w:rPr>
          <w:rFonts w:hint="eastAsia" w:ascii="宋体" w:hAnsi="宋体" w:cs="宋体"/>
          <w:color w:val="auto"/>
          <w:sz w:val="24"/>
          <w:highlight w:val="none"/>
          <w:lang w:val="zh-CN"/>
        </w:rPr>
        <w:t>开户银行：</w:t>
      </w:r>
      <w:r>
        <w:rPr>
          <w:rFonts w:hint="eastAsia" w:ascii="宋体" w:hAnsi="宋体" w:cs="宋体"/>
          <w:color w:val="auto"/>
          <w:sz w:val="24"/>
          <w:highlight w:val="none"/>
        </w:rPr>
        <w:t>___________________账 号：________________</w:t>
      </w:r>
    </w:p>
    <w:p>
      <w:pPr>
        <w:autoSpaceDE w:val="0"/>
        <w:autoSpaceDN w:val="0"/>
        <w:adjustRightInd w:val="0"/>
        <w:spacing w:line="460" w:lineRule="exact"/>
        <w:ind w:firstLine="720" w:firstLineChars="300"/>
        <w:rPr>
          <w:rFonts w:ascii="宋体" w:hAnsi="宋体" w:cs="宋体"/>
          <w:color w:val="auto"/>
          <w:sz w:val="24"/>
          <w:highlight w:val="none"/>
        </w:rPr>
      </w:pPr>
      <w:r>
        <w:rPr>
          <w:rFonts w:hint="eastAsia" w:ascii="宋体" w:hAnsi="宋体" w:cs="宋体"/>
          <w:color w:val="auto"/>
          <w:sz w:val="24"/>
          <w:highlight w:val="none"/>
          <w:lang w:val="zh-CN"/>
        </w:rPr>
        <w:t>电话：</w:t>
      </w:r>
      <w:r>
        <w:rPr>
          <w:rFonts w:hint="eastAsia" w:ascii="宋体" w:hAnsi="宋体" w:cs="宋体"/>
          <w:color w:val="auto"/>
          <w:sz w:val="24"/>
          <w:highlight w:val="none"/>
        </w:rPr>
        <w:t>___________________传 真：________________</w:t>
      </w:r>
    </w:p>
    <w:p>
      <w:pPr>
        <w:autoSpaceDE w:val="0"/>
        <w:autoSpaceDN w:val="0"/>
        <w:adjustRightInd w:val="0"/>
        <w:spacing w:line="46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法定代表人或委托代理人（签字或盖章）</w:t>
      </w:r>
      <w:r>
        <w:rPr>
          <w:rFonts w:hint="eastAsia" w:ascii="宋体" w:hAnsi="宋体" w:cs="宋体"/>
          <w:color w:val="auto"/>
          <w:sz w:val="24"/>
          <w:highlight w:val="none"/>
          <w:lang w:val="zh-CN"/>
        </w:rPr>
        <w:t>：</w:t>
      </w:r>
      <w:r>
        <w:rPr>
          <w:rFonts w:hint="eastAsia" w:ascii="宋体" w:hAnsi="宋体" w:cs="宋体"/>
          <w:color w:val="auto"/>
          <w:sz w:val="24"/>
          <w:highlight w:val="none"/>
        </w:rPr>
        <w:t>___________________</w:t>
      </w:r>
    </w:p>
    <w:p>
      <w:pPr>
        <w:autoSpaceDE w:val="0"/>
        <w:autoSpaceDN w:val="0"/>
        <w:adjustRightInd w:val="0"/>
        <w:spacing w:line="460" w:lineRule="exact"/>
        <w:ind w:firstLine="480" w:firstLineChars="200"/>
        <w:jc w:val="center"/>
        <w:rPr>
          <w:rFonts w:ascii="宋体" w:hAnsi="宋体" w:cs="宋体"/>
          <w:color w:val="auto"/>
          <w:sz w:val="24"/>
          <w:highlight w:val="none"/>
        </w:rPr>
      </w:pPr>
    </w:p>
    <w:p>
      <w:pPr>
        <w:autoSpaceDE w:val="0"/>
        <w:autoSpaceDN w:val="0"/>
        <w:adjustRightInd w:val="0"/>
        <w:spacing w:line="460" w:lineRule="exact"/>
        <w:ind w:firstLine="480" w:firstLineChars="200"/>
        <w:jc w:val="center"/>
        <w:rPr>
          <w:rFonts w:ascii="宋体" w:hAnsi="宋体" w:cs="宋体"/>
          <w:color w:val="auto"/>
          <w:sz w:val="24"/>
          <w:highlight w:val="none"/>
        </w:rPr>
        <w:sectPr>
          <w:pgSz w:w="11906" w:h="16838"/>
          <w:pgMar w:top="1440" w:right="1417" w:bottom="1440" w:left="1587" w:header="850" w:footer="992" w:gutter="0"/>
          <w:pgNumType w:fmt="numberInDash"/>
          <w:cols w:space="720" w:num="1"/>
          <w:docGrid w:type="lines" w:linePitch="317" w:charSpace="0"/>
        </w:sectPr>
      </w:pPr>
      <w:r>
        <w:rPr>
          <w:rFonts w:hint="eastAsia" w:ascii="宋体" w:hAnsi="宋体" w:cs="宋体"/>
          <w:color w:val="auto"/>
          <w:sz w:val="24"/>
          <w:highlight w:val="none"/>
        </w:rPr>
        <w:t xml:space="preserve">                                          _____</w:t>
      </w:r>
      <w:r>
        <w:rPr>
          <w:rFonts w:hint="eastAsia" w:ascii="宋体" w:hAnsi="宋体" w:cs="宋体"/>
          <w:color w:val="auto"/>
          <w:sz w:val="24"/>
          <w:highlight w:val="none"/>
          <w:lang w:val="zh-CN"/>
        </w:rPr>
        <w:t>年</w:t>
      </w:r>
      <w:r>
        <w:rPr>
          <w:rFonts w:hint="eastAsia" w:ascii="宋体" w:hAnsi="宋体" w:cs="宋体"/>
          <w:color w:val="auto"/>
          <w:sz w:val="24"/>
          <w:highlight w:val="none"/>
        </w:rPr>
        <w:t>_____</w:t>
      </w:r>
      <w:r>
        <w:rPr>
          <w:rFonts w:hint="eastAsia" w:ascii="宋体" w:hAnsi="宋体" w:cs="宋体"/>
          <w:color w:val="auto"/>
          <w:sz w:val="24"/>
          <w:highlight w:val="none"/>
          <w:lang w:val="zh-CN"/>
        </w:rPr>
        <w:t>月</w:t>
      </w:r>
      <w:r>
        <w:rPr>
          <w:rFonts w:hint="eastAsia" w:ascii="宋体" w:hAnsi="宋体" w:cs="宋体"/>
          <w:color w:val="auto"/>
          <w:sz w:val="24"/>
          <w:highlight w:val="none"/>
        </w:rPr>
        <w:t>_____</w:t>
      </w:r>
      <w:r>
        <w:rPr>
          <w:rFonts w:hint="eastAsia" w:ascii="宋体" w:hAnsi="宋体" w:cs="宋体"/>
          <w:color w:val="auto"/>
          <w:sz w:val="24"/>
          <w:highlight w:val="none"/>
          <w:lang w:val="zh-CN"/>
        </w:rPr>
        <w:t>日</w:t>
      </w:r>
    </w:p>
    <w:p>
      <w:pPr>
        <w:overflowPunct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二、法定代表人身份证明</w:t>
      </w:r>
    </w:p>
    <w:p>
      <w:pPr>
        <w:overflowPunct w:val="0"/>
        <w:spacing w:line="360" w:lineRule="auto"/>
        <w:ind w:firstLine="420" w:firstLineChars="200"/>
        <w:rPr>
          <w:rFonts w:ascii="宋体" w:hAnsi="宋体" w:cs="宋体"/>
          <w:color w:val="auto"/>
          <w:szCs w:val="21"/>
          <w:highlight w:val="none"/>
        </w:rPr>
      </w:pPr>
    </w:p>
    <w:tbl>
      <w:tblPr>
        <w:tblStyle w:val="2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190"/>
        <w:gridCol w:w="2186"/>
        <w:gridCol w:w="186"/>
        <w:gridCol w:w="2186"/>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6"/>
            <w:vAlign w:val="center"/>
          </w:tcPr>
          <w:p>
            <w:pPr>
              <w:tabs>
                <w:tab w:val="left" w:pos="210"/>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致：陕西德仁招标有限公司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restart"/>
            <w:vAlign w:val="center"/>
          </w:tcPr>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企</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业</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企业名称</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法定地址</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邮政编码</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工商登记机关</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Merge w:val="restart"/>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税务登记机关</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Merge w:val="continue"/>
            <w:vAlign w:val="center"/>
          </w:tcPr>
          <w:p>
            <w:pPr>
              <w:tabs>
                <w:tab w:val="left" w:pos="210"/>
              </w:tabs>
              <w:spacing w:line="360" w:lineRule="auto"/>
              <w:ind w:firstLine="480" w:firstLineChars="200"/>
              <w:rPr>
                <w:rFonts w:ascii="宋体" w:hAnsi="宋体" w:cs="宋体"/>
                <w:color w:val="auto"/>
                <w:kern w:val="0"/>
                <w:sz w:val="24"/>
                <w:highlight w:val="none"/>
              </w:rPr>
            </w:pP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机构代码证号</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restart"/>
            <w:vAlign w:val="center"/>
          </w:tcPr>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定</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表</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w:t>
            </w: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姓名</w:t>
            </w:r>
          </w:p>
        </w:tc>
        <w:tc>
          <w:tcPr>
            <w:tcW w:w="2372" w:type="dxa"/>
            <w:gridSpan w:val="2"/>
            <w:vAlign w:val="center"/>
          </w:tcPr>
          <w:p>
            <w:pPr>
              <w:tabs>
                <w:tab w:val="left" w:pos="21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（签字）</w:t>
            </w:r>
          </w:p>
        </w:tc>
        <w:tc>
          <w:tcPr>
            <w:tcW w:w="2186" w:type="dxa"/>
            <w:vAlign w:val="center"/>
          </w:tcPr>
          <w:p>
            <w:pPr>
              <w:tabs>
                <w:tab w:val="left" w:pos="21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2190" w:type="dxa"/>
            <w:vAlign w:val="center"/>
          </w:tcPr>
          <w:p>
            <w:pPr>
              <w:tabs>
                <w:tab w:val="left" w:pos="210"/>
              </w:tabs>
              <w:spacing w:line="360" w:lineRule="auto"/>
              <w:ind w:firstLine="480" w:firstLineChars="200"/>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职务</w:t>
            </w:r>
          </w:p>
        </w:tc>
        <w:tc>
          <w:tcPr>
            <w:tcW w:w="2372" w:type="dxa"/>
            <w:gridSpan w:val="2"/>
            <w:vAlign w:val="center"/>
          </w:tcPr>
          <w:p>
            <w:pPr>
              <w:tabs>
                <w:tab w:val="left" w:pos="210"/>
              </w:tabs>
              <w:spacing w:line="360" w:lineRule="auto"/>
              <w:jc w:val="left"/>
              <w:rPr>
                <w:rFonts w:ascii="宋体" w:hAnsi="宋体" w:cs="宋体"/>
                <w:color w:val="auto"/>
                <w:kern w:val="0"/>
                <w:sz w:val="24"/>
                <w:highlight w:val="none"/>
              </w:rPr>
            </w:pPr>
          </w:p>
        </w:tc>
        <w:tc>
          <w:tcPr>
            <w:tcW w:w="2186" w:type="dxa"/>
            <w:vAlign w:val="center"/>
          </w:tcPr>
          <w:p>
            <w:pPr>
              <w:tabs>
                <w:tab w:val="left" w:pos="21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190" w:type="dxa"/>
            <w:vAlign w:val="center"/>
          </w:tcPr>
          <w:p>
            <w:pPr>
              <w:tabs>
                <w:tab w:val="left" w:pos="210"/>
              </w:tabs>
              <w:spacing w:line="360" w:lineRule="auto"/>
              <w:ind w:firstLine="480" w:firstLineChars="200"/>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02" w:type="dxa"/>
            <w:vMerge w:val="continue"/>
            <w:vAlign w:val="center"/>
          </w:tcPr>
          <w:p>
            <w:pPr>
              <w:tabs>
                <w:tab w:val="left" w:pos="210"/>
              </w:tabs>
              <w:spacing w:line="360" w:lineRule="auto"/>
              <w:ind w:firstLine="480" w:firstLineChars="200"/>
              <w:jc w:val="center"/>
              <w:rPr>
                <w:rFonts w:ascii="宋体" w:hAnsi="宋体" w:cs="宋体"/>
                <w:color w:val="auto"/>
                <w:kern w:val="0"/>
                <w:sz w:val="24"/>
                <w:highlight w:val="none"/>
              </w:rPr>
            </w:pPr>
          </w:p>
        </w:tc>
        <w:tc>
          <w:tcPr>
            <w:tcW w:w="2190" w:type="dxa"/>
            <w:vAlign w:val="center"/>
          </w:tcPr>
          <w:p>
            <w:pPr>
              <w:tabs>
                <w:tab w:val="left" w:pos="21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传真</w:t>
            </w:r>
          </w:p>
        </w:tc>
        <w:tc>
          <w:tcPr>
            <w:tcW w:w="6748" w:type="dxa"/>
            <w:gridSpan w:val="4"/>
            <w:vAlign w:val="center"/>
          </w:tcPr>
          <w:p>
            <w:pPr>
              <w:tabs>
                <w:tab w:val="left" w:pos="210"/>
              </w:tabs>
              <w:spacing w:line="360" w:lineRule="auto"/>
              <w:jc w:val="left"/>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602" w:type="dxa"/>
            <w:vMerge w:val="restart"/>
            <w:vAlign w:val="center"/>
          </w:tcPr>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法</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定</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代</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表</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人</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身</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份</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证</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复</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印</w:t>
            </w:r>
          </w:p>
          <w:p>
            <w:pPr>
              <w:tabs>
                <w:tab w:val="left" w:pos="210"/>
              </w:tabs>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件</w:t>
            </w:r>
          </w:p>
        </w:tc>
        <w:tc>
          <w:tcPr>
            <w:tcW w:w="4376" w:type="dxa"/>
            <w:gridSpan w:val="2"/>
            <w:vMerge w:val="restart"/>
            <w:vAlign w:val="center"/>
          </w:tcPr>
          <w:p>
            <w:pPr>
              <w:tabs>
                <w:tab w:val="left" w:pos="21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（正反面）</w:t>
            </w:r>
          </w:p>
        </w:tc>
        <w:tc>
          <w:tcPr>
            <w:tcW w:w="4562" w:type="dxa"/>
            <w:gridSpan w:val="3"/>
            <w:vAlign w:val="center"/>
          </w:tcPr>
          <w:p>
            <w:pPr>
              <w:tabs>
                <w:tab w:val="left" w:pos="210"/>
              </w:tabs>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2" w:type="dxa"/>
            <w:vMerge w:val="continue"/>
            <w:vAlign w:val="center"/>
          </w:tcPr>
          <w:p>
            <w:pPr>
              <w:tabs>
                <w:tab w:val="left" w:pos="210"/>
              </w:tabs>
              <w:spacing w:line="360" w:lineRule="auto"/>
              <w:ind w:firstLine="480" w:firstLineChars="200"/>
              <w:jc w:val="left"/>
              <w:rPr>
                <w:rFonts w:ascii="宋体" w:hAnsi="宋体" w:cs="宋体"/>
                <w:color w:val="auto"/>
                <w:kern w:val="0"/>
                <w:sz w:val="24"/>
                <w:highlight w:val="none"/>
              </w:rPr>
            </w:pPr>
          </w:p>
        </w:tc>
        <w:tc>
          <w:tcPr>
            <w:tcW w:w="4376" w:type="dxa"/>
            <w:gridSpan w:val="2"/>
            <w:vMerge w:val="continue"/>
            <w:vAlign w:val="center"/>
          </w:tcPr>
          <w:p>
            <w:pPr>
              <w:tabs>
                <w:tab w:val="left" w:pos="210"/>
              </w:tabs>
              <w:spacing w:line="360" w:lineRule="auto"/>
              <w:ind w:firstLine="480" w:firstLineChars="200"/>
              <w:jc w:val="left"/>
              <w:rPr>
                <w:rFonts w:ascii="宋体" w:hAnsi="宋体" w:cs="宋体"/>
                <w:color w:val="auto"/>
                <w:kern w:val="0"/>
                <w:sz w:val="24"/>
                <w:highlight w:val="none"/>
              </w:rPr>
            </w:pPr>
          </w:p>
        </w:tc>
        <w:tc>
          <w:tcPr>
            <w:tcW w:w="4562" w:type="dxa"/>
            <w:gridSpan w:val="3"/>
            <w:vAlign w:val="bottom"/>
          </w:tcPr>
          <w:p>
            <w:pPr>
              <w:tabs>
                <w:tab w:val="left" w:pos="210"/>
              </w:tabs>
              <w:spacing w:line="360" w:lineRule="auto"/>
              <w:ind w:firstLine="2160" w:firstLineChars="900"/>
              <w:jc w:val="left"/>
              <w:rPr>
                <w:rFonts w:ascii="宋体" w:hAnsi="宋体" w:cs="宋体"/>
                <w:color w:val="auto"/>
                <w:kern w:val="0"/>
                <w:sz w:val="24"/>
                <w:highlight w:val="none"/>
              </w:rPr>
            </w:pPr>
            <w:r>
              <w:rPr>
                <w:rFonts w:hint="eastAsia" w:ascii="宋体" w:hAnsi="宋体" w:cs="宋体"/>
                <w:color w:val="auto"/>
                <w:kern w:val="0"/>
                <w:sz w:val="24"/>
                <w:highlight w:val="none"/>
              </w:rPr>
              <w:t>（公章）</w:t>
            </w:r>
          </w:p>
          <w:p>
            <w:pPr>
              <w:tabs>
                <w:tab w:val="left" w:pos="210"/>
              </w:tabs>
              <w:spacing w:line="360" w:lineRule="auto"/>
              <w:jc w:val="left"/>
              <w:rPr>
                <w:rFonts w:ascii="宋体" w:hAnsi="宋体" w:cs="宋体"/>
                <w:color w:val="auto"/>
                <w:kern w:val="0"/>
                <w:sz w:val="24"/>
                <w:highlight w:val="none"/>
              </w:rPr>
            </w:pPr>
          </w:p>
          <w:p>
            <w:pPr>
              <w:tabs>
                <w:tab w:val="left" w:pos="210"/>
              </w:tabs>
              <w:spacing w:line="360" w:lineRule="auto"/>
              <w:jc w:val="left"/>
              <w:rPr>
                <w:rFonts w:ascii="宋体" w:hAnsi="宋体" w:cs="宋体"/>
                <w:color w:val="auto"/>
                <w:kern w:val="0"/>
                <w:sz w:val="24"/>
                <w:highlight w:val="none"/>
              </w:rPr>
            </w:pPr>
          </w:p>
          <w:p>
            <w:pPr>
              <w:tabs>
                <w:tab w:val="left" w:pos="210"/>
              </w:tabs>
              <w:spacing w:line="360" w:lineRule="auto"/>
              <w:jc w:val="left"/>
              <w:rPr>
                <w:rFonts w:ascii="宋体" w:hAnsi="宋体" w:cs="宋体"/>
                <w:color w:val="auto"/>
                <w:kern w:val="0"/>
                <w:sz w:val="24"/>
                <w:highlight w:val="none"/>
              </w:rPr>
            </w:pPr>
          </w:p>
          <w:p>
            <w:pPr>
              <w:adjustRightInd w:val="0"/>
              <w:snapToGrid w:val="0"/>
              <w:spacing w:line="480" w:lineRule="auto"/>
              <w:ind w:firstLine="480" w:firstLineChars="200"/>
              <w:jc w:val="right"/>
              <w:rPr>
                <w:rFonts w:ascii="宋体" w:hAnsi="宋体" w:cs="宋体"/>
                <w:color w:val="auto"/>
                <w:kern w:val="0"/>
                <w:sz w:val="24"/>
                <w:highlight w:val="none"/>
              </w:rPr>
            </w:pPr>
            <w:r>
              <w:rPr>
                <w:rFonts w:hint="eastAsia" w:ascii="宋体" w:hAnsi="宋体" w:cs="宋体"/>
                <w:color w:val="auto"/>
                <w:sz w:val="24"/>
                <w:highlight w:val="none"/>
              </w:rPr>
              <w:t>年    月   日</w:t>
            </w:r>
          </w:p>
        </w:tc>
      </w:tr>
    </w:tbl>
    <w:p>
      <w:pPr>
        <w:overflowPunct w:val="0"/>
        <w:spacing w:line="360" w:lineRule="auto"/>
        <w:jc w:val="center"/>
        <w:rPr>
          <w:rFonts w:ascii="宋体" w:hAnsi="宋体" w:cs="宋体"/>
          <w:b/>
          <w:bCs/>
          <w:color w:val="auto"/>
          <w:sz w:val="28"/>
          <w:szCs w:val="28"/>
          <w:highlight w:val="none"/>
        </w:rPr>
      </w:pPr>
      <w:r>
        <w:rPr>
          <w:rFonts w:hint="eastAsia" w:ascii="宋体" w:hAnsi="宋体" w:cs="宋体"/>
          <w:bCs/>
          <w:color w:val="auto"/>
          <w:sz w:val="30"/>
          <w:szCs w:val="30"/>
          <w:highlight w:val="none"/>
        </w:rPr>
        <w:br w:type="page"/>
      </w:r>
      <w:r>
        <w:rPr>
          <w:rFonts w:hint="eastAsia" w:ascii="宋体" w:hAnsi="宋体" w:cs="宋体"/>
          <w:b/>
          <w:bCs/>
          <w:color w:val="auto"/>
          <w:sz w:val="28"/>
          <w:szCs w:val="28"/>
          <w:highlight w:val="none"/>
        </w:rPr>
        <w:t>三、法人授权委托书</w:t>
      </w:r>
    </w:p>
    <w:p>
      <w:pPr>
        <w:overflowPunct w:val="0"/>
        <w:spacing w:line="360" w:lineRule="auto"/>
        <w:ind w:left="109" w:leftChars="52" w:firstLine="525" w:firstLineChars="250"/>
        <w:rPr>
          <w:rFonts w:ascii="宋体" w:hAnsi="宋体" w:cs="宋体"/>
          <w:color w:val="auto"/>
          <w:szCs w:val="21"/>
          <w:highlight w:val="none"/>
        </w:rPr>
      </w:pPr>
    </w:p>
    <w:p>
      <w:pPr>
        <w:overflowPunct w:val="0"/>
        <w:spacing w:line="480" w:lineRule="auto"/>
        <w:ind w:left="109" w:leftChars="52" w:firstLine="600" w:firstLineChars="250"/>
        <w:rPr>
          <w:rFonts w:ascii="宋体" w:hAnsi="宋体" w:cs="宋体"/>
          <w:color w:val="auto"/>
          <w:sz w:val="24"/>
          <w:highlight w:val="none"/>
        </w:rPr>
      </w:pPr>
      <w:r>
        <w:rPr>
          <w:rFonts w:hint="eastAsia" w:ascii="宋体" w:hAnsi="宋体" w:cs="宋体"/>
          <w:color w:val="auto"/>
          <w:sz w:val="24"/>
          <w:highlight w:val="none"/>
        </w:rPr>
        <w:t>本授权委托书声明：我（法定代表人姓名）系注册于</w:t>
      </w:r>
      <w:r>
        <w:rPr>
          <w:rFonts w:hint="eastAsia" w:ascii="宋体" w:hAnsi="宋体" w:cs="宋体"/>
          <w:color w:val="auto"/>
          <w:sz w:val="24"/>
          <w:highlight w:val="none"/>
          <w:u w:val="single"/>
        </w:rPr>
        <w:t xml:space="preserve">  （磋商供应商地址）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（磋商供应商名称）</w:t>
      </w:r>
      <w:r>
        <w:rPr>
          <w:rFonts w:hint="eastAsia" w:ascii="宋体" w:hAnsi="宋体" w:cs="宋体"/>
          <w:color w:val="auto"/>
          <w:sz w:val="24"/>
          <w:highlight w:val="none"/>
        </w:rPr>
        <w:t>的法定代表人，现授权（被授权人姓名、职务）为我公司合法代理人，就签署</w:t>
      </w:r>
      <w:r>
        <w:rPr>
          <w:rFonts w:hint="eastAsia" w:ascii="宋体" w:hAnsi="宋体" w:cs="宋体"/>
          <w:color w:val="auto"/>
          <w:sz w:val="24"/>
          <w:highlight w:val="none"/>
          <w:u w:val="single"/>
        </w:rPr>
        <w:t xml:space="preserve">  （项目名称）（采购编号）     </w:t>
      </w:r>
      <w:r>
        <w:rPr>
          <w:rFonts w:hint="eastAsia" w:ascii="宋体" w:hAnsi="宋体" w:cs="宋体"/>
          <w:color w:val="auto"/>
          <w:sz w:val="24"/>
          <w:highlight w:val="none"/>
        </w:rPr>
        <w:t>的磋商及合同的执行和完成，以本公司名义处理一切与之有关的事宜。</w:t>
      </w:r>
    </w:p>
    <w:p>
      <w:pPr>
        <w:overflowPunct w:val="0"/>
        <w:spacing w:line="360" w:lineRule="auto"/>
        <w:ind w:left="109" w:leftChars="51" w:hanging="2"/>
        <w:rPr>
          <w:rFonts w:ascii="宋体" w:hAnsi="宋体" w:cs="宋体"/>
          <w:color w:val="auto"/>
          <w:sz w:val="24"/>
          <w:highlight w:val="none"/>
        </w:rPr>
      </w:pPr>
      <w:r>
        <w:rPr>
          <w:rFonts w:hint="eastAsia" w:ascii="宋体" w:hAnsi="宋体" w:cs="宋体"/>
          <w:color w:val="auto"/>
          <w:sz w:val="24"/>
          <w:highlight w:val="none"/>
        </w:rPr>
        <w:t xml:space="preserve">         代理人无转委托权，特此委托。</w:t>
      </w:r>
    </w:p>
    <w:p>
      <w:pPr>
        <w:overflowPunct w:val="0"/>
        <w:spacing w:line="48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法人代表签字：                         被授权人签字：</w:t>
      </w:r>
    </w:p>
    <w:p>
      <w:pPr>
        <w:overflowPunct w:val="0"/>
        <w:spacing w:line="48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职        务：                         职        务：</w:t>
      </w:r>
    </w:p>
    <w:p>
      <w:pPr>
        <w:overflowPunct w:val="0"/>
        <w:spacing w:line="480" w:lineRule="auto"/>
        <w:ind w:firstLine="840" w:firstLineChars="350"/>
        <w:rPr>
          <w:rFonts w:ascii="宋体" w:hAnsi="宋体" w:cs="宋体"/>
          <w:color w:val="auto"/>
          <w:sz w:val="24"/>
          <w:highlight w:val="none"/>
        </w:rPr>
      </w:pPr>
      <w:r>
        <w:rPr>
          <w:rFonts w:hint="eastAsia" w:ascii="宋体" w:hAnsi="宋体" w:cs="宋体"/>
          <w:color w:val="auto"/>
          <w:sz w:val="24"/>
          <w:highlight w:val="none"/>
        </w:rPr>
        <w:t>身  份 证 号：                         身  份 证 号：</w:t>
      </w:r>
    </w:p>
    <w:p>
      <w:pPr>
        <w:overflowPunct w:val="0"/>
        <w:spacing w:line="480" w:lineRule="auto"/>
        <w:ind w:firstLine="240" w:firstLineChars="100"/>
        <w:rPr>
          <w:rFonts w:ascii="宋体" w:hAnsi="宋体" w:cs="宋体"/>
          <w:bCs/>
          <w:color w:val="auto"/>
          <w:sz w:val="24"/>
          <w:highlight w:val="none"/>
        </w:rPr>
      </w:pPr>
      <w:r>
        <w:rPr>
          <w:rFonts w:hint="eastAsia" w:ascii="宋体" w:hAnsi="宋体" w:cs="宋体"/>
          <w:color w:val="auto"/>
          <w:sz w:val="24"/>
          <w:highlight w:val="none"/>
        </w:rPr>
        <w:t>附：法定代表人、被授权人身份证复印件。</w:t>
      </w:r>
    </w:p>
    <w:tbl>
      <w:tblPr>
        <w:tblStyle w:val="24"/>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pPr>
              <w:overflowPunct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法定代表人身份证复印件</w:t>
            </w:r>
          </w:p>
          <w:p>
            <w:pPr>
              <w:overflowPunct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（正、反面）</w:t>
            </w:r>
          </w:p>
        </w:tc>
        <w:tc>
          <w:tcPr>
            <w:tcW w:w="4790" w:type="dxa"/>
            <w:tcBorders>
              <w:left w:val="single" w:color="auto" w:sz="4" w:space="0"/>
            </w:tcBorders>
            <w:vAlign w:val="center"/>
          </w:tcPr>
          <w:p>
            <w:pPr>
              <w:overflowPunct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被授权人身份证复印件</w:t>
            </w:r>
          </w:p>
          <w:p>
            <w:pPr>
              <w:overflowPunct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（正、反面）</w:t>
            </w:r>
          </w:p>
        </w:tc>
      </w:tr>
    </w:tbl>
    <w:p>
      <w:pPr>
        <w:overflowPunct w:val="0"/>
        <w:spacing w:line="360" w:lineRule="auto"/>
        <w:rPr>
          <w:rFonts w:ascii="宋体" w:hAnsi="宋体" w:cs="宋体"/>
          <w:color w:val="auto"/>
          <w:sz w:val="24"/>
          <w:highlight w:val="none"/>
        </w:rPr>
      </w:pPr>
      <w:r>
        <w:rPr>
          <w:rFonts w:hint="eastAsia" w:ascii="宋体" w:hAnsi="宋体" w:cs="宋体"/>
          <w:color w:val="auto"/>
          <w:sz w:val="24"/>
          <w:highlight w:val="none"/>
        </w:rPr>
        <w:t>（本授权的有效期为磋商之日起90个日历日）</w:t>
      </w:r>
    </w:p>
    <w:p>
      <w:pPr>
        <w:overflowPunct w:val="0"/>
        <w:spacing w:line="360" w:lineRule="auto"/>
        <w:ind w:firstLine="5520" w:firstLineChars="2300"/>
        <w:rPr>
          <w:rFonts w:ascii="宋体" w:hAnsi="宋体" w:cs="宋体"/>
          <w:color w:val="auto"/>
          <w:sz w:val="24"/>
          <w:highlight w:val="none"/>
          <w:u w:val="single"/>
        </w:rPr>
      </w:pPr>
      <w:r>
        <w:rPr>
          <w:rFonts w:hint="eastAsia" w:ascii="宋体" w:hAnsi="宋体" w:cs="宋体"/>
          <w:color w:val="auto"/>
          <w:sz w:val="24"/>
          <w:highlight w:val="none"/>
        </w:rPr>
        <w:t>供应商（盖章）：</w:t>
      </w:r>
      <w:r>
        <w:rPr>
          <w:rFonts w:hint="eastAsia" w:ascii="宋体" w:hAnsi="宋体" w:cs="宋体"/>
          <w:color w:val="auto"/>
          <w:sz w:val="24"/>
          <w:highlight w:val="none"/>
          <w:u w:val="single"/>
        </w:rPr>
        <w:t xml:space="preserve">               </w:t>
      </w:r>
    </w:p>
    <w:p>
      <w:pPr>
        <w:overflowPunct w:val="0"/>
        <w:spacing w:line="360" w:lineRule="auto"/>
        <w:ind w:firstLine="6000" w:firstLineChars="2500"/>
        <w:rPr>
          <w:rFonts w:ascii="宋体" w:hAnsi="宋体" w:cs="宋体"/>
          <w:color w:val="auto"/>
          <w:sz w:val="24"/>
          <w:highlight w:val="none"/>
        </w:rPr>
      </w:pPr>
      <w:r>
        <w:rPr>
          <w:rFonts w:hint="eastAsia" w:ascii="宋体" w:hAnsi="宋体" w:cs="宋体"/>
          <w:color w:val="auto"/>
          <w:sz w:val="24"/>
          <w:highlight w:val="none"/>
        </w:rPr>
        <w:t>年    月    日</w:t>
      </w:r>
    </w:p>
    <w:p>
      <w:pPr>
        <w:overflowPunct w:val="0"/>
        <w:spacing w:line="360" w:lineRule="auto"/>
        <w:jc w:val="center"/>
        <w:rPr>
          <w:rFonts w:ascii="宋体" w:hAnsi="宋体" w:cs="宋体"/>
          <w:b/>
          <w:bCs/>
          <w:color w:val="auto"/>
          <w:sz w:val="28"/>
          <w:szCs w:val="28"/>
          <w:highlight w:val="none"/>
        </w:rPr>
      </w:pPr>
    </w:p>
    <w:p>
      <w:pPr>
        <w:spacing w:before="240" w:line="360" w:lineRule="auto"/>
        <w:jc w:val="center"/>
        <w:rPr>
          <w:rFonts w:ascii="宋体" w:hAnsi="宋体" w:cs="宋体"/>
          <w:b/>
          <w:color w:val="auto"/>
          <w:sz w:val="30"/>
          <w:szCs w:val="30"/>
          <w:highlight w:val="none"/>
        </w:rPr>
      </w:pPr>
      <w:r>
        <w:rPr>
          <w:rFonts w:hint="eastAsia" w:ascii="宋体" w:hAnsi="宋体" w:cs="宋体"/>
          <w:b/>
          <w:bCs/>
          <w:color w:val="auto"/>
          <w:sz w:val="30"/>
          <w:szCs w:val="30"/>
          <w:highlight w:val="none"/>
        </w:rPr>
        <w:t>四、磋商报价表</w:t>
      </w:r>
      <w:r>
        <w:rPr>
          <w:rFonts w:hint="eastAsia" w:ascii="宋体" w:hAnsi="宋体" w:cs="宋体"/>
          <w:b/>
          <w:color w:val="auto"/>
          <w:sz w:val="30"/>
          <w:szCs w:val="30"/>
          <w:highlight w:val="none"/>
        </w:rPr>
        <w:t>（首次）</w:t>
      </w:r>
    </w:p>
    <w:p>
      <w:pPr>
        <w:jc w:val="left"/>
        <w:rPr>
          <w:rFonts w:ascii="宋体" w:hAnsi="宋体" w:cs="宋体"/>
          <w:b/>
          <w:color w:val="auto"/>
          <w:sz w:val="28"/>
          <w:szCs w:val="28"/>
          <w:highlight w:val="none"/>
        </w:rPr>
      </w:pPr>
    </w:p>
    <w:p>
      <w:pPr>
        <w:spacing w:line="360" w:lineRule="auto"/>
        <w:ind w:firstLine="240"/>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ind w:firstLine="240"/>
        <w:rPr>
          <w:rFonts w:ascii="宋体" w:hAnsi="宋体" w:cs="宋体"/>
          <w:color w:val="auto"/>
          <w:sz w:val="24"/>
          <w:highlight w:val="none"/>
        </w:rPr>
      </w:pPr>
      <w:r>
        <w:rPr>
          <w:rFonts w:hint="eastAsia" w:ascii="宋体" w:hAnsi="宋体" w:cs="宋体"/>
          <w:color w:val="auto"/>
          <w:sz w:val="24"/>
          <w:highlight w:val="none"/>
        </w:rPr>
        <w:t xml:space="preserve">项目编号：   </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089"/>
        <w:gridCol w:w="1740"/>
        <w:gridCol w:w="183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38"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3089"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磋商总报价</w:t>
            </w:r>
          </w:p>
        </w:tc>
        <w:tc>
          <w:tcPr>
            <w:tcW w:w="1740"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交货期</w:t>
            </w:r>
          </w:p>
        </w:tc>
        <w:tc>
          <w:tcPr>
            <w:tcW w:w="1830"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质保期</w:t>
            </w:r>
          </w:p>
        </w:tc>
        <w:tc>
          <w:tcPr>
            <w:tcW w:w="1801"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38" w:type="dxa"/>
            <w:vAlign w:val="center"/>
          </w:tcPr>
          <w:p>
            <w:pPr>
              <w:snapToGrid w:val="0"/>
              <w:spacing w:line="48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3089" w:type="dxa"/>
            <w:vAlign w:val="center"/>
          </w:tcPr>
          <w:p>
            <w:pPr>
              <w:snapToGrid w:val="0"/>
              <w:spacing w:line="480" w:lineRule="exact"/>
              <w:rPr>
                <w:color w:val="auto"/>
                <w:sz w:val="24"/>
                <w:highlight w:val="none"/>
              </w:rPr>
            </w:pPr>
            <w:r>
              <w:rPr>
                <w:rFonts w:hint="eastAsia"/>
                <w:color w:val="auto"/>
                <w:sz w:val="24"/>
                <w:highlight w:val="none"/>
              </w:rPr>
              <w:t>小写：</w:t>
            </w:r>
          </w:p>
          <w:p>
            <w:pPr>
              <w:pStyle w:val="2"/>
              <w:ind w:firstLine="0" w:firstLineChars="0"/>
              <w:rPr>
                <w:color w:val="auto"/>
                <w:sz w:val="24"/>
                <w:szCs w:val="24"/>
                <w:highlight w:val="none"/>
              </w:rPr>
            </w:pPr>
            <w:r>
              <w:rPr>
                <w:rFonts w:hint="eastAsia" w:ascii="Times New Roman" w:hAnsi="Times New Roman"/>
                <w:color w:val="auto"/>
                <w:sz w:val="24"/>
                <w:szCs w:val="24"/>
                <w:highlight w:val="none"/>
              </w:rPr>
              <w:t>大写：</w:t>
            </w:r>
          </w:p>
        </w:tc>
        <w:tc>
          <w:tcPr>
            <w:tcW w:w="1740" w:type="dxa"/>
            <w:vAlign w:val="center"/>
          </w:tcPr>
          <w:p>
            <w:pPr>
              <w:snapToGrid w:val="0"/>
              <w:spacing w:line="480" w:lineRule="exact"/>
              <w:jc w:val="center"/>
              <w:rPr>
                <w:rFonts w:ascii="宋体" w:hAnsi="宋体" w:cs="宋体"/>
                <w:color w:val="auto"/>
                <w:sz w:val="24"/>
                <w:highlight w:val="none"/>
              </w:rPr>
            </w:pPr>
          </w:p>
        </w:tc>
        <w:tc>
          <w:tcPr>
            <w:tcW w:w="1830" w:type="dxa"/>
            <w:vAlign w:val="center"/>
          </w:tcPr>
          <w:p>
            <w:pPr>
              <w:snapToGrid w:val="0"/>
              <w:spacing w:line="480" w:lineRule="exact"/>
              <w:jc w:val="center"/>
              <w:rPr>
                <w:rFonts w:ascii="宋体" w:hAnsi="宋体"/>
                <w:bCs/>
                <w:color w:val="auto"/>
                <w:sz w:val="24"/>
                <w:highlight w:val="none"/>
              </w:rPr>
            </w:pPr>
          </w:p>
        </w:tc>
        <w:tc>
          <w:tcPr>
            <w:tcW w:w="1801" w:type="dxa"/>
            <w:vAlign w:val="center"/>
          </w:tcPr>
          <w:p>
            <w:pPr>
              <w:snapToGrid w:val="0"/>
              <w:spacing w:line="480" w:lineRule="exact"/>
              <w:jc w:val="center"/>
              <w:rPr>
                <w:rFonts w:ascii="宋体" w:hAnsi="宋体" w:cs="宋体"/>
                <w:color w:val="auto"/>
                <w:sz w:val="24"/>
                <w:highlight w:val="none"/>
              </w:rPr>
            </w:pPr>
            <w:r>
              <w:rPr>
                <w:rFonts w:hint="eastAsia" w:ascii="宋体" w:hAnsi="宋体"/>
                <w:bCs/>
                <w:color w:val="auto"/>
                <w:sz w:val="24"/>
                <w:highlight w:val="none"/>
              </w:rPr>
              <w:t xml:space="preserve"> </w:t>
            </w:r>
          </w:p>
        </w:tc>
      </w:tr>
    </w:tbl>
    <w:p>
      <w:pPr>
        <w:rPr>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备注：1、表内报价内容以元为单位，保留小数点后两位。</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2、报价应含项目实施完成所有费用。</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ind w:firstLine="3828" w:firstLineChars="1595"/>
        <w:jc w:val="left"/>
        <w:rPr>
          <w:rFonts w:ascii="宋体" w:hAnsi="宋体" w:cs="宋体"/>
          <w:color w:val="auto"/>
          <w:sz w:val="24"/>
          <w:highlight w:val="none"/>
          <w:u w:val="single"/>
        </w:rPr>
      </w:pPr>
      <w:r>
        <w:rPr>
          <w:rFonts w:hint="eastAsia" w:ascii="宋体" w:hAnsi="宋体" w:cs="宋体"/>
          <w:color w:val="auto"/>
          <w:sz w:val="24"/>
          <w:highlight w:val="none"/>
        </w:rPr>
        <w:t>供应商（盖章）：</w:t>
      </w:r>
    </w:p>
    <w:p>
      <w:pPr>
        <w:spacing w:line="360" w:lineRule="auto"/>
        <w:ind w:firstLine="3828" w:firstLineChars="1595"/>
        <w:jc w:val="left"/>
        <w:rPr>
          <w:rFonts w:ascii="宋体" w:hAnsi="宋体" w:cs="宋体"/>
          <w:color w:val="auto"/>
          <w:sz w:val="24"/>
          <w:highlight w:val="none"/>
        </w:rPr>
      </w:pPr>
      <w:r>
        <w:rPr>
          <w:rFonts w:hint="eastAsia" w:ascii="宋体" w:hAnsi="宋体" w:cs="宋体"/>
          <w:color w:val="auto"/>
          <w:sz w:val="24"/>
          <w:highlight w:val="none"/>
        </w:rPr>
        <w:t>法定代表人或</w:t>
      </w:r>
    </w:p>
    <w:p>
      <w:pPr>
        <w:spacing w:line="360" w:lineRule="auto"/>
        <w:ind w:firstLine="3828" w:firstLineChars="1595"/>
        <w:jc w:val="lef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kern w:val="0"/>
          <w:sz w:val="24"/>
          <w:highlight w:val="none"/>
        </w:rPr>
        <w:t>(签字或盖章)</w:t>
      </w:r>
    </w:p>
    <w:p>
      <w:pPr>
        <w:overflowPunct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 xml:space="preserve">               日      期：  年  月   日</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overflowPunct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分项报价表（首次）</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项目编号：</w:t>
      </w:r>
    </w:p>
    <w:tbl>
      <w:tblPr>
        <w:tblStyle w:val="24"/>
        <w:tblpPr w:leftFromText="180" w:rightFromText="180" w:vertAnchor="text" w:horzAnchor="page" w:tblpXSpec="center" w:tblpY="171"/>
        <w:tblOverlap w:val="never"/>
        <w:tblW w:w="102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649"/>
        <w:gridCol w:w="1215"/>
        <w:gridCol w:w="1320"/>
        <w:gridCol w:w="900"/>
        <w:gridCol w:w="840"/>
        <w:gridCol w:w="835"/>
        <w:gridCol w:w="1287"/>
        <w:gridCol w:w="128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92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1649"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名称</w:t>
            </w:r>
          </w:p>
        </w:tc>
        <w:tc>
          <w:tcPr>
            <w:tcW w:w="121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品牌</w:t>
            </w:r>
          </w:p>
        </w:tc>
        <w:tc>
          <w:tcPr>
            <w:tcW w:w="132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规格型号</w:t>
            </w:r>
          </w:p>
        </w:tc>
        <w:tc>
          <w:tcPr>
            <w:tcW w:w="90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产地</w:t>
            </w:r>
          </w:p>
        </w:tc>
        <w:tc>
          <w:tcPr>
            <w:tcW w:w="840"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单位</w:t>
            </w:r>
          </w:p>
        </w:tc>
        <w:tc>
          <w:tcPr>
            <w:tcW w:w="835"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28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单价</w:t>
            </w:r>
          </w:p>
        </w:tc>
        <w:tc>
          <w:tcPr>
            <w:tcW w:w="128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总价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92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92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927"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27" w:type="dxa"/>
            <w:vAlign w:val="center"/>
          </w:tcPr>
          <w:p>
            <w:pPr>
              <w:spacing w:line="360" w:lineRule="auto"/>
              <w:jc w:val="center"/>
              <w:rPr>
                <w:rFonts w:ascii="宋体" w:hAnsi="宋体"/>
                <w:color w:val="auto"/>
                <w:sz w:val="24"/>
                <w:highlight w:val="none"/>
              </w:rPr>
            </w:pP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27" w:type="dxa"/>
            <w:vAlign w:val="center"/>
          </w:tcPr>
          <w:p>
            <w:pPr>
              <w:spacing w:line="360" w:lineRule="auto"/>
              <w:jc w:val="center"/>
              <w:rPr>
                <w:rFonts w:ascii="宋体" w:hAnsi="宋体"/>
                <w:color w:val="auto"/>
                <w:sz w:val="24"/>
                <w:highlight w:val="none"/>
              </w:rPr>
            </w:pP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927" w:type="dxa"/>
            <w:vAlign w:val="center"/>
          </w:tcPr>
          <w:p>
            <w:pPr>
              <w:spacing w:line="360" w:lineRule="auto"/>
              <w:jc w:val="center"/>
              <w:rPr>
                <w:rFonts w:ascii="宋体" w:hAnsi="宋体"/>
                <w:color w:val="auto"/>
                <w:sz w:val="24"/>
                <w:highlight w:val="none"/>
              </w:rPr>
            </w:pP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927" w:type="dxa"/>
            <w:vAlign w:val="center"/>
          </w:tcPr>
          <w:p>
            <w:pPr>
              <w:spacing w:line="360" w:lineRule="auto"/>
              <w:jc w:val="center"/>
              <w:rPr>
                <w:rFonts w:ascii="宋体" w:hAnsi="宋体"/>
                <w:color w:val="auto"/>
                <w:sz w:val="24"/>
                <w:highlight w:val="none"/>
              </w:rPr>
            </w:pPr>
          </w:p>
        </w:tc>
        <w:tc>
          <w:tcPr>
            <w:tcW w:w="1649" w:type="dxa"/>
            <w:vAlign w:val="center"/>
          </w:tcPr>
          <w:p>
            <w:pPr>
              <w:spacing w:line="360" w:lineRule="auto"/>
              <w:jc w:val="center"/>
              <w:rPr>
                <w:rFonts w:ascii="宋体" w:hAnsi="宋体"/>
                <w:color w:val="auto"/>
                <w:sz w:val="24"/>
                <w:highlight w:val="none"/>
              </w:rPr>
            </w:pPr>
          </w:p>
        </w:tc>
        <w:tc>
          <w:tcPr>
            <w:tcW w:w="1215" w:type="dxa"/>
            <w:vAlign w:val="center"/>
          </w:tcPr>
          <w:p>
            <w:pPr>
              <w:spacing w:line="360" w:lineRule="auto"/>
              <w:jc w:val="center"/>
              <w:rPr>
                <w:rFonts w:ascii="宋体" w:hAnsi="宋体"/>
                <w:color w:val="auto"/>
                <w:sz w:val="24"/>
                <w:highlight w:val="none"/>
              </w:rPr>
            </w:pPr>
          </w:p>
        </w:tc>
        <w:tc>
          <w:tcPr>
            <w:tcW w:w="1320" w:type="dxa"/>
            <w:vAlign w:val="center"/>
          </w:tcPr>
          <w:p>
            <w:pPr>
              <w:spacing w:after="158" w:afterLines="50" w:line="360" w:lineRule="auto"/>
              <w:jc w:val="center"/>
              <w:rPr>
                <w:rFonts w:ascii="宋体" w:hAnsi="宋体"/>
                <w:color w:val="auto"/>
                <w:sz w:val="24"/>
                <w:highlight w:val="none"/>
              </w:rPr>
            </w:pPr>
          </w:p>
        </w:tc>
        <w:tc>
          <w:tcPr>
            <w:tcW w:w="900" w:type="dxa"/>
            <w:vAlign w:val="center"/>
          </w:tcPr>
          <w:p>
            <w:pPr>
              <w:spacing w:line="360" w:lineRule="auto"/>
              <w:jc w:val="center"/>
              <w:rPr>
                <w:rFonts w:ascii="宋体" w:hAnsi="宋体"/>
                <w:color w:val="auto"/>
                <w:sz w:val="24"/>
                <w:highlight w:val="none"/>
              </w:rPr>
            </w:pPr>
          </w:p>
        </w:tc>
        <w:tc>
          <w:tcPr>
            <w:tcW w:w="840" w:type="dxa"/>
            <w:vAlign w:val="center"/>
          </w:tcPr>
          <w:p>
            <w:pPr>
              <w:spacing w:line="360" w:lineRule="auto"/>
              <w:jc w:val="center"/>
              <w:rPr>
                <w:rFonts w:ascii="宋体" w:hAnsi="宋体"/>
                <w:color w:val="auto"/>
                <w:sz w:val="24"/>
                <w:highlight w:val="none"/>
              </w:rPr>
            </w:pPr>
          </w:p>
        </w:tc>
        <w:tc>
          <w:tcPr>
            <w:tcW w:w="835"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c>
          <w:tcPr>
            <w:tcW w:w="1287" w:type="dxa"/>
            <w:vAlign w:val="center"/>
          </w:tcPr>
          <w:p>
            <w:pPr>
              <w:spacing w:line="360" w:lineRule="auto"/>
              <w:jc w:val="center"/>
              <w:rPr>
                <w:rFonts w:ascii="宋体" w:hAnsi="宋体"/>
                <w:color w:val="auto"/>
                <w:sz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10260" w:type="dxa"/>
            <w:gridSpan w:val="9"/>
            <w:vAlign w:val="center"/>
          </w:tcPr>
          <w:p>
            <w:pPr>
              <w:spacing w:line="360" w:lineRule="auto"/>
              <w:rPr>
                <w:rFonts w:ascii="宋体" w:hAnsi="宋体"/>
                <w:color w:val="auto"/>
                <w:sz w:val="24"/>
                <w:highlight w:val="none"/>
              </w:rPr>
            </w:pPr>
            <w:r>
              <w:rPr>
                <w:rFonts w:hint="eastAsia" w:ascii="宋体" w:hAnsi="宋体"/>
                <w:color w:val="auto"/>
                <w:sz w:val="24"/>
                <w:highlight w:val="none"/>
              </w:rPr>
              <w:t>总报价（人民币大写）：                           （¥        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10260" w:type="dxa"/>
            <w:gridSpan w:val="9"/>
            <w:vAlign w:val="center"/>
          </w:tcPr>
          <w:p>
            <w:pPr>
              <w:spacing w:line="360" w:lineRule="auto"/>
              <w:rPr>
                <w:rFonts w:ascii="宋体" w:hAnsi="宋体"/>
                <w:color w:val="auto"/>
                <w:sz w:val="24"/>
                <w:highlight w:val="none"/>
              </w:rPr>
            </w:pPr>
            <w:r>
              <w:rPr>
                <w:rFonts w:hint="eastAsia" w:hAnsi="宋体"/>
                <w:color w:val="auto"/>
                <w:spacing w:val="-6"/>
                <w:sz w:val="24"/>
                <w:highlight w:val="none"/>
              </w:rPr>
              <w:t>备注：表内报价内容以元为单位，保留小数点后两位。</w:t>
            </w:r>
          </w:p>
        </w:tc>
      </w:tr>
    </w:tbl>
    <w:p>
      <w:pPr>
        <w:spacing w:line="360" w:lineRule="auto"/>
        <w:rPr>
          <w:rFonts w:ascii="宋体" w:hAnsi="宋体" w:cs="宋体"/>
          <w:color w:val="auto"/>
          <w:sz w:val="24"/>
          <w:highlight w:val="none"/>
        </w:rPr>
      </w:pPr>
      <w:r>
        <w:rPr>
          <w:rFonts w:hint="eastAsia" w:ascii="宋体" w:hAnsi="宋体" w:cs="宋体"/>
          <w:iCs/>
          <w:color w:val="auto"/>
          <w:sz w:val="24"/>
          <w:highlight w:val="none"/>
        </w:rPr>
        <w:t>注：</w:t>
      </w:r>
      <w:r>
        <w:rPr>
          <w:rFonts w:hint="eastAsia" w:ascii="宋体" w:hAnsi="宋体" w:cs="宋体"/>
          <w:color w:val="auto"/>
          <w:sz w:val="24"/>
          <w:highlight w:val="none"/>
        </w:rPr>
        <w:t>1、表内报价内容以元为单位，保留小数点后两位。</w:t>
      </w:r>
    </w:p>
    <w:p>
      <w:pPr>
        <w:spacing w:line="360" w:lineRule="auto"/>
        <w:ind w:firstLine="480" w:firstLineChars="200"/>
        <w:rPr>
          <w:rFonts w:ascii="宋体" w:hAnsi="宋体" w:cs="宋体"/>
          <w:iCs/>
          <w:color w:val="auto"/>
          <w:sz w:val="24"/>
          <w:highlight w:val="none"/>
        </w:rPr>
      </w:pPr>
      <w:r>
        <w:rPr>
          <w:rFonts w:hint="eastAsia" w:ascii="宋体" w:hAnsi="宋体" w:cs="宋体"/>
          <w:color w:val="auto"/>
          <w:sz w:val="24"/>
          <w:highlight w:val="none"/>
        </w:rPr>
        <w:t>2、</w:t>
      </w:r>
      <w:r>
        <w:rPr>
          <w:rFonts w:hint="eastAsia" w:ascii="宋体" w:hAnsi="宋体" w:cs="宋体"/>
          <w:iCs/>
          <w:color w:val="auto"/>
          <w:sz w:val="24"/>
          <w:highlight w:val="none"/>
        </w:rPr>
        <w:t>如果不提供详细分项报价将视为没有实质性响应磋商文件。</w:t>
      </w:r>
    </w:p>
    <w:p>
      <w:pPr>
        <w:spacing w:line="360" w:lineRule="auto"/>
        <w:rPr>
          <w:rFonts w:ascii="宋体" w:hAnsi="宋体" w:cs="宋体"/>
          <w:iCs/>
          <w:color w:val="auto"/>
          <w:sz w:val="24"/>
          <w:highlight w:val="none"/>
        </w:rPr>
      </w:pPr>
    </w:p>
    <w:p>
      <w:pPr>
        <w:spacing w:after="634" w:afterLines="200" w:line="360" w:lineRule="auto"/>
        <w:ind w:firstLine="3828" w:firstLineChars="1595"/>
        <w:jc w:val="left"/>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pPr>
        <w:spacing w:line="360" w:lineRule="auto"/>
        <w:ind w:firstLine="3828" w:firstLineChars="1595"/>
        <w:jc w:val="left"/>
        <w:rPr>
          <w:rFonts w:ascii="宋体" w:hAnsi="宋体" w:cs="宋体"/>
          <w:color w:val="auto"/>
          <w:sz w:val="24"/>
          <w:highlight w:val="none"/>
        </w:rPr>
      </w:pPr>
      <w:r>
        <w:rPr>
          <w:rFonts w:hint="eastAsia" w:ascii="宋体" w:hAnsi="宋体" w:cs="宋体"/>
          <w:color w:val="auto"/>
          <w:sz w:val="24"/>
          <w:highlight w:val="none"/>
        </w:rPr>
        <w:t>法定代表人或</w:t>
      </w:r>
    </w:p>
    <w:p>
      <w:pPr>
        <w:spacing w:line="360" w:lineRule="auto"/>
        <w:ind w:firstLine="3828" w:firstLineChars="1595"/>
        <w:jc w:val="lef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kern w:val="0"/>
          <w:sz w:val="24"/>
          <w:highlight w:val="none"/>
        </w:rPr>
        <w:t>(签字或盖章)</w:t>
      </w:r>
    </w:p>
    <w:p>
      <w:pPr>
        <w:spacing w:after="634" w:afterLines="200" w:line="360" w:lineRule="auto"/>
        <w:ind w:firstLine="3828" w:firstLineChars="1595"/>
        <w:jc w:val="left"/>
        <w:rPr>
          <w:rFonts w:ascii="宋体" w:hAnsi="宋体" w:cs="宋体"/>
          <w:color w:val="auto"/>
          <w:szCs w:val="21"/>
          <w:highlight w:val="none"/>
        </w:rPr>
      </w:pPr>
      <w:r>
        <w:rPr>
          <w:rFonts w:hint="eastAsia" w:ascii="宋体" w:hAnsi="宋体" w:cs="宋体"/>
          <w:color w:val="auto"/>
          <w:sz w:val="24"/>
          <w:highlight w:val="none"/>
        </w:rPr>
        <w:t>日      期：      年     月      日</w:t>
      </w:r>
    </w:p>
    <w:p>
      <w:pPr>
        <w:overflowPunct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 xml:space="preserve"> 五、近三年承接的类似项目情况表</w:t>
      </w:r>
    </w:p>
    <w:p>
      <w:pPr>
        <w:pStyle w:val="11"/>
        <w:rPr>
          <w:color w:val="auto"/>
          <w:highlight w:val="none"/>
        </w:rPr>
      </w:pPr>
    </w:p>
    <w:p>
      <w:pPr>
        <w:keepNext/>
        <w:keepLines/>
        <w:spacing w:line="240" w:lineRule="auto"/>
        <w:jc w:val="center"/>
        <w:rPr>
          <w:rFonts w:ascii="宋体" w:hAnsi="宋体" w:cs="宋体"/>
          <w:b/>
          <w:bCs/>
          <w:color w:val="auto"/>
          <w:sz w:val="24"/>
          <w:highlight w:val="none"/>
        </w:rPr>
      </w:pPr>
      <w:bookmarkStart w:id="74" w:name="_Toc711"/>
      <w:bookmarkStart w:id="75" w:name="_Toc9895"/>
      <w:bookmarkStart w:id="76" w:name="_Toc6236"/>
      <w:bookmarkStart w:id="77" w:name="_Toc12299"/>
      <w:r>
        <w:rPr>
          <w:rFonts w:hint="eastAsia" w:ascii="宋体" w:hAnsi="宋体" w:cs="宋体"/>
          <w:b/>
          <w:bCs/>
          <w:color w:val="auto"/>
          <w:sz w:val="24"/>
          <w:highlight w:val="none"/>
        </w:rPr>
        <w:t>1、业绩统计表</w:t>
      </w:r>
      <w:bookmarkEnd w:id="74"/>
      <w:bookmarkEnd w:id="75"/>
      <w:bookmarkEnd w:id="76"/>
      <w:bookmarkEnd w:id="77"/>
    </w:p>
    <w:p>
      <w:pPr>
        <w:rPr>
          <w:color w:val="auto"/>
          <w:highlight w:val="none"/>
        </w:rPr>
      </w:pPr>
    </w:p>
    <w:tbl>
      <w:tblPr>
        <w:tblStyle w:val="24"/>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3316"/>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bookmarkStart w:id="78" w:name="_Toc18459"/>
            <w:bookmarkStart w:id="79" w:name="_Toc17531"/>
            <w:bookmarkStart w:id="80" w:name="_Toc11643"/>
            <w:bookmarkStart w:id="81" w:name="_Toc32041"/>
            <w:r>
              <w:rPr>
                <w:rFonts w:hint="eastAsia" w:ascii="宋体" w:hAnsi="宋体" w:cs="宋体"/>
                <w:color w:val="auto"/>
                <w:sz w:val="24"/>
                <w:highlight w:val="none"/>
              </w:rPr>
              <w:t>序号</w:t>
            </w:r>
            <w:bookmarkEnd w:id="78"/>
            <w:bookmarkEnd w:id="79"/>
            <w:bookmarkEnd w:id="80"/>
            <w:bookmarkEnd w:id="81"/>
          </w:p>
        </w:tc>
        <w:tc>
          <w:tcPr>
            <w:tcW w:w="3316" w:type="dxa"/>
            <w:vAlign w:val="center"/>
          </w:tcPr>
          <w:p>
            <w:pPr>
              <w:keepNext/>
              <w:keepLines/>
              <w:rPr>
                <w:rFonts w:ascii="宋体" w:hAnsi="宋体" w:cs="宋体"/>
                <w:color w:val="auto"/>
                <w:sz w:val="24"/>
                <w:highlight w:val="none"/>
              </w:rPr>
            </w:pPr>
            <w:bookmarkStart w:id="82" w:name="_Toc15125"/>
            <w:bookmarkStart w:id="83" w:name="_Toc21399"/>
            <w:bookmarkStart w:id="84" w:name="_Toc7655"/>
            <w:bookmarkStart w:id="85" w:name="_Toc8421"/>
            <w:r>
              <w:rPr>
                <w:rFonts w:hint="eastAsia" w:ascii="宋体" w:hAnsi="宋体" w:cs="宋体"/>
                <w:color w:val="auto"/>
                <w:sz w:val="24"/>
                <w:highlight w:val="none"/>
              </w:rPr>
              <w:t>业绩名称</w:t>
            </w:r>
            <w:bookmarkEnd w:id="82"/>
            <w:bookmarkEnd w:id="83"/>
            <w:bookmarkEnd w:id="84"/>
            <w:bookmarkEnd w:id="85"/>
          </w:p>
        </w:tc>
        <w:tc>
          <w:tcPr>
            <w:tcW w:w="2280" w:type="dxa"/>
            <w:vAlign w:val="center"/>
          </w:tcPr>
          <w:p>
            <w:pPr>
              <w:keepNext/>
              <w:keepLines/>
              <w:rPr>
                <w:rFonts w:ascii="宋体" w:hAnsi="宋体" w:cs="宋体"/>
                <w:color w:val="auto"/>
                <w:sz w:val="24"/>
                <w:highlight w:val="none"/>
              </w:rPr>
            </w:pPr>
            <w:bookmarkStart w:id="86" w:name="_Toc27463"/>
            <w:bookmarkStart w:id="87" w:name="_Toc24868"/>
            <w:bookmarkStart w:id="88" w:name="_Toc21582"/>
            <w:bookmarkStart w:id="89" w:name="_Toc10940"/>
            <w:r>
              <w:rPr>
                <w:rFonts w:hint="eastAsia" w:ascii="宋体" w:hAnsi="宋体" w:cs="宋体"/>
                <w:color w:val="auto"/>
                <w:sz w:val="24"/>
                <w:highlight w:val="none"/>
              </w:rPr>
              <w:t>执行时间</w:t>
            </w:r>
            <w:bookmarkEnd w:id="86"/>
            <w:bookmarkEnd w:id="87"/>
            <w:bookmarkEnd w:id="88"/>
            <w:bookmarkEnd w:id="89"/>
          </w:p>
        </w:tc>
        <w:tc>
          <w:tcPr>
            <w:tcW w:w="2281" w:type="dxa"/>
            <w:vAlign w:val="center"/>
          </w:tcPr>
          <w:p>
            <w:pPr>
              <w:keepNext/>
              <w:keepLines/>
              <w:rPr>
                <w:rFonts w:ascii="宋体" w:hAnsi="宋体" w:cs="宋体"/>
                <w:color w:val="auto"/>
                <w:sz w:val="24"/>
                <w:highlight w:val="none"/>
              </w:rPr>
            </w:pPr>
            <w:bookmarkStart w:id="90" w:name="_Toc25473"/>
            <w:bookmarkStart w:id="91" w:name="_Toc30689"/>
            <w:bookmarkStart w:id="92" w:name="_Toc5850"/>
            <w:bookmarkStart w:id="93" w:name="_Toc16665"/>
            <w:r>
              <w:rPr>
                <w:rFonts w:hint="eastAsia" w:ascii="宋体" w:hAnsi="宋体" w:cs="宋体"/>
                <w:color w:val="auto"/>
                <w:sz w:val="24"/>
                <w:highlight w:val="none"/>
              </w:rPr>
              <w:t>备注</w:t>
            </w:r>
            <w:bookmarkEnd w:id="90"/>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3" w:type="dxa"/>
            <w:vAlign w:val="center"/>
          </w:tcPr>
          <w:p>
            <w:pPr>
              <w:keepNext/>
              <w:keepLines/>
              <w:rPr>
                <w:rFonts w:ascii="宋体" w:hAnsi="宋体" w:cs="宋体"/>
                <w:color w:val="auto"/>
                <w:sz w:val="24"/>
                <w:highlight w:val="none"/>
              </w:rPr>
            </w:pPr>
          </w:p>
        </w:tc>
        <w:tc>
          <w:tcPr>
            <w:tcW w:w="3316" w:type="dxa"/>
            <w:vAlign w:val="center"/>
          </w:tcPr>
          <w:p>
            <w:pPr>
              <w:keepNext/>
              <w:keepLines/>
              <w:rPr>
                <w:rFonts w:ascii="宋体" w:hAnsi="宋体" w:cs="宋体"/>
                <w:color w:val="auto"/>
                <w:sz w:val="24"/>
                <w:highlight w:val="none"/>
              </w:rPr>
            </w:pPr>
          </w:p>
        </w:tc>
        <w:tc>
          <w:tcPr>
            <w:tcW w:w="2280" w:type="dxa"/>
            <w:vAlign w:val="center"/>
          </w:tcPr>
          <w:p>
            <w:pPr>
              <w:keepNext/>
              <w:keepLines/>
              <w:rPr>
                <w:rFonts w:ascii="宋体" w:hAnsi="宋体" w:cs="宋体"/>
                <w:color w:val="auto"/>
                <w:sz w:val="24"/>
                <w:highlight w:val="none"/>
              </w:rPr>
            </w:pPr>
          </w:p>
        </w:tc>
        <w:tc>
          <w:tcPr>
            <w:tcW w:w="2281" w:type="dxa"/>
            <w:vAlign w:val="center"/>
          </w:tcPr>
          <w:p>
            <w:pPr>
              <w:keepNext/>
              <w:keepLines/>
              <w:rPr>
                <w:rFonts w:ascii="宋体" w:hAnsi="宋体" w:cs="宋体"/>
                <w:color w:val="auto"/>
                <w:sz w:val="24"/>
                <w:highlight w:val="none"/>
              </w:rPr>
            </w:pPr>
          </w:p>
        </w:tc>
      </w:tr>
    </w:tbl>
    <w:p>
      <w:pPr>
        <w:pStyle w:val="4"/>
        <w:rPr>
          <w:rFonts w:ascii="宋体" w:hAnsi="宋体" w:cs="宋体"/>
          <w:color w:val="auto"/>
          <w:sz w:val="24"/>
          <w:szCs w:val="24"/>
          <w:highlight w:val="none"/>
        </w:rPr>
      </w:pPr>
    </w:p>
    <w:p>
      <w:pPr>
        <w:rPr>
          <w:rFonts w:ascii="宋体" w:hAnsi="宋体" w:cs="宋体"/>
          <w:color w:val="auto"/>
          <w:sz w:val="24"/>
          <w:highlight w:val="none"/>
        </w:rPr>
      </w:pP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供应商（盖章）： </w:t>
      </w:r>
    </w:p>
    <w:p>
      <w:pPr>
        <w:rPr>
          <w:rFonts w:ascii="宋体" w:hAnsi="宋体" w:cs="宋体"/>
          <w:color w:val="auto"/>
          <w:sz w:val="24"/>
          <w:highlight w:val="none"/>
        </w:rPr>
      </w:pPr>
    </w:p>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法定代表人或委托代理人（签字或盖章）：</w:t>
      </w:r>
    </w:p>
    <w:p>
      <w:pPr>
        <w:rPr>
          <w:rFonts w:ascii="宋体" w:hAnsi="宋体" w:cs="宋体"/>
          <w:color w:val="auto"/>
          <w:sz w:val="24"/>
          <w:highlight w:val="none"/>
          <w:u w:val="single"/>
        </w:rPr>
      </w:pPr>
    </w:p>
    <w:p>
      <w:pPr>
        <w:ind w:right="42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jc w:val="center"/>
        <w:rPr>
          <w:rFonts w:ascii="宋体" w:hAnsi="宋体" w:cs="宋体"/>
          <w:b/>
          <w:color w:val="auto"/>
          <w:sz w:val="24"/>
          <w:highlight w:val="none"/>
        </w:rPr>
      </w:pPr>
      <w:r>
        <w:rPr>
          <w:rFonts w:hint="eastAsia" w:ascii="宋体" w:hAnsi="宋体" w:cs="宋体"/>
          <w:b/>
          <w:color w:val="auto"/>
          <w:sz w:val="24"/>
          <w:highlight w:val="none"/>
        </w:rPr>
        <w:t>2、附表</w:t>
      </w:r>
    </w:p>
    <w:tbl>
      <w:tblPr>
        <w:tblStyle w:val="2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项目所在地</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发包人名称</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发包人地址</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发包人联系电话</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合同价格</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开工日期</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竣工日期</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承担的工作</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工程质量</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项目负责人</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项目描述</w:t>
            </w:r>
          </w:p>
        </w:tc>
        <w:tc>
          <w:tcPr>
            <w:tcW w:w="6094" w:type="dxa"/>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6094" w:type="dxa"/>
            <w:vAlign w:val="center"/>
          </w:tcPr>
          <w:p>
            <w:pPr>
              <w:jc w:val="left"/>
              <w:rPr>
                <w:rFonts w:ascii="宋体" w:hAnsi="宋体" w:cs="宋体"/>
                <w:color w:val="auto"/>
                <w:sz w:val="24"/>
                <w:highlight w:val="none"/>
              </w:rPr>
            </w:pPr>
          </w:p>
        </w:tc>
      </w:tr>
    </w:tbl>
    <w:p>
      <w:pPr>
        <w:jc w:val="left"/>
        <w:rPr>
          <w:rFonts w:ascii="宋体" w:hAnsi="宋体" w:cs="宋体"/>
          <w:color w:val="auto"/>
          <w:szCs w:val="21"/>
          <w:highlight w:val="none"/>
        </w:rPr>
      </w:pPr>
    </w:p>
    <w:p>
      <w:pPr>
        <w:widowControl/>
        <w:shd w:val="clear" w:color="auto" w:fill="FFFFFF"/>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注：1、本表可复制，一个业绩附一张表。</w:t>
      </w:r>
    </w:p>
    <w:p>
      <w:pPr>
        <w:widowControl/>
        <w:shd w:val="clear" w:color="auto" w:fill="FFFFFF"/>
        <w:spacing w:line="460" w:lineRule="exact"/>
        <w:ind w:firstLine="1024" w:firstLineChars="427"/>
        <w:jc w:val="left"/>
        <w:rPr>
          <w:rFonts w:ascii="宋体" w:hAnsi="宋体" w:cs="宋体"/>
          <w:color w:val="auto"/>
          <w:kern w:val="0"/>
          <w:sz w:val="24"/>
          <w:highlight w:val="none"/>
        </w:rPr>
      </w:pPr>
      <w:r>
        <w:rPr>
          <w:rFonts w:hint="eastAsia" w:ascii="宋体" w:hAnsi="宋体" w:cs="宋体"/>
          <w:color w:val="auto"/>
          <w:kern w:val="0"/>
          <w:sz w:val="24"/>
          <w:highlight w:val="none"/>
        </w:rPr>
        <w:t>2、附同类型业绩的合同或中标通知书的复印件。</w:t>
      </w:r>
    </w:p>
    <w:p>
      <w:pPr>
        <w:widowControl/>
        <w:shd w:val="clear" w:color="auto" w:fill="FFFFFF"/>
        <w:spacing w:line="460" w:lineRule="exact"/>
        <w:ind w:firstLine="1027" w:firstLineChars="428"/>
        <w:jc w:val="left"/>
        <w:rPr>
          <w:rFonts w:ascii="宋体" w:hAnsi="宋体" w:cs="宋体"/>
          <w:color w:val="auto"/>
          <w:kern w:val="0"/>
          <w:sz w:val="24"/>
          <w:highlight w:val="none"/>
        </w:rPr>
      </w:pPr>
      <w:r>
        <w:rPr>
          <w:rFonts w:hint="eastAsia" w:ascii="宋体" w:hAnsi="宋体" w:cs="宋体"/>
          <w:color w:val="auto"/>
          <w:kern w:val="0"/>
          <w:sz w:val="24"/>
          <w:highlight w:val="none"/>
        </w:rPr>
        <w:t>3、以上资料复印件（加盖投标供应商红色公章），附在响应文件中的“近年承接的类似项目情况表”后。</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供应商（盖章）： </w:t>
      </w:r>
    </w:p>
    <w:p>
      <w:pPr>
        <w:rPr>
          <w:rFonts w:ascii="宋体" w:hAnsi="宋体" w:cs="宋体"/>
          <w:color w:val="auto"/>
          <w:sz w:val="24"/>
          <w:highlight w:val="none"/>
        </w:rPr>
      </w:pPr>
    </w:p>
    <w:p>
      <w:pPr>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法定代表人或委托代理人（签字或盖章）：</w:t>
      </w:r>
    </w:p>
    <w:p>
      <w:pPr>
        <w:rPr>
          <w:rFonts w:ascii="宋体" w:hAnsi="宋体" w:cs="宋体"/>
          <w:color w:val="auto"/>
          <w:sz w:val="24"/>
          <w:highlight w:val="none"/>
          <w:u w:val="single"/>
        </w:rPr>
      </w:pPr>
    </w:p>
    <w:p>
      <w:pPr>
        <w:ind w:right="42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pStyle w:val="13"/>
        <w:spacing w:before="120"/>
        <w:ind w:left="0" w:right="34"/>
        <w:jc w:val="center"/>
        <w:rPr>
          <w:rFonts w:ascii="宋体" w:hAnsi="宋体" w:cs="宋体"/>
          <w:b/>
          <w:bCs/>
          <w:color w:val="auto"/>
          <w:kern w:val="2"/>
          <w:sz w:val="28"/>
          <w:szCs w:val="28"/>
          <w:highlight w:val="none"/>
        </w:rPr>
      </w:pPr>
      <w:r>
        <w:rPr>
          <w:rFonts w:hint="eastAsia" w:ascii="宋体" w:hAnsi="宋体" w:cs="宋体"/>
          <w:b/>
          <w:bCs/>
          <w:color w:val="auto"/>
          <w:kern w:val="2"/>
          <w:sz w:val="28"/>
          <w:szCs w:val="28"/>
          <w:highlight w:val="none"/>
        </w:rPr>
        <w:t>六、技术组织方案</w:t>
      </w:r>
    </w:p>
    <w:p>
      <w:pPr>
        <w:spacing w:line="360" w:lineRule="auto"/>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rPr>
          <w:rFonts w:ascii="宋体" w:hAnsi="宋体" w:cs="宋体"/>
          <w:color w:val="auto"/>
          <w:sz w:val="24"/>
          <w:highlight w:val="none"/>
        </w:rPr>
      </w:pPr>
      <w:r>
        <w:rPr>
          <w:rFonts w:hint="eastAsia" w:ascii="宋体" w:hAnsi="宋体" w:cs="宋体"/>
          <w:color w:val="auto"/>
          <w:sz w:val="24"/>
          <w:highlight w:val="none"/>
        </w:rPr>
        <w:t>项目编号：</w:t>
      </w:r>
    </w:p>
    <w:p>
      <w:pPr>
        <w:spacing w:line="360" w:lineRule="auto"/>
        <w:rPr>
          <w:rFonts w:ascii="宋体" w:hAnsi="宋体" w:cs="宋体"/>
          <w:color w:val="auto"/>
          <w:sz w:val="24"/>
          <w:highlight w:val="none"/>
        </w:rPr>
      </w:pPr>
      <w:r>
        <w:rPr>
          <w:rFonts w:hint="eastAsia" w:ascii="宋体" w:hAnsi="宋体" w:cs="宋体"/>
          <w:color w:val="auto"/>
          <w:sz w:val="24"/>
          <w:highlight w:val="none"/>
        </w:rPr>
        <w:t>供应商名称：</w:t>
      </w:r>
    </w:p>
    <w:p>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200025</wp:posOffset>
                </wp:positionV>
                <wp:extent cx="526161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2616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5pt;margin-top:15.75pt;height:0.05pt;width:414.3pt;z-index:251658240;mso-width-relative:page;mso-height-relative:page;" filled="f" stroked="t" coordsize="21600,21600" o:gfxdata="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gPMEjXAAAACAEAAA8AAAAAAAAAAQAg&#10;AAAAIgAAAGRycy9kb3ducmV2LnhtbFBLAQIUABQAAAAIAIdO4kChD4BD1gEAAJoDAAAOAAAAAAAA&#10;AAEAIAAAACYBAABkcnMvZTJvRG9jLnhtbFBLBQYAAAAABgAGAFkBAABuBQAAAAA=&#10;">
                <v:fill on="f" focussize="0,0"/>
                <v:stroke color="#000000" joinstyle="round"/>
                <v:imagedata o:title=""/>
                <o:lock v:ext="edit" aspectratio="f"/>
              </v:line>
            </w:pict>
          </mc:Fallback>
        </mc:AlternateContent>
      </w:r>
    </w:p>
    <w:p>
      <w:pPr>
        <w:spacing w:line="360" w:lineRule="auto"/>
        <w:rPr>
          <w:rFonts w:ascii="宋体" w:hAnsi="宋体" w:cs="宋体"/>
          <w:color w:val="auto"/>
          <w:sz w:val="24"/>
          <w:highlight w:val="none"/>
        </w:rPr>
      </w:pPr>
      <w:r>
        <w:rPr>
          <w:rFonts w:hint="eastAsia" w:ascii="宋体" w:hAnsi="宋体" w:cs="宋体"/>
          <w:color w:val="auto"/>
          <w:sz w:val="24"/>
          <w:highlight w:val="none"/>
        </w:rPr>
        <w:t>供货商自行编制，其中至少包含组织实施、</w:t>
      </w:r>
      <w:r>
        <w:rPr>
          <w:rFonts w:hint="eastAsia" w:ascii="宋体" w:hAnsi="宋体"/>
          <w:color w:val="auto"/>
          <w:sz w:val="24"/>
          <w:highlight w:val="none"/>
        </w:rPr>
        <w:t>供应商完成交货保障能力、响应产品的质量标准、</w:t>
      </w:r>
      <w:r>
        <w:rPr>
          <w:rFonts w:hint="eastAsia" w:ascii="宋体" w:hAnsi="宋体" w:cs="宋体"/>
          <w:color w:val="auto"/>
          <w:sz w:val="24"/>
          <w:highlight w:val="none"/>
        </w:rPr>
        <w:t>技术售后服务方案等描述和说明。</w:t>
      </w:r>
    </w:p>
    <w:p>
      <w:pPr>
        <w:spacing w:line="360" w:lineRule="auto"/>
        <w:rPr>
          <w:rFonts w:ascii="宋体" w:hAnsi="宋体" w:cs="宋体"/>
          <w:color w:val="auto"/>
          <w:sz w:val="24"/>
          <w:highlight w:val="none"/>
        </w:rPr>
      </w:pPr>
      <w:bookmarkStart w:id="94" w:name="_Hlt526418111"/>
      <w:bookmarkEnd w:id="94"/>
      <w:bookmarkStart w:id="95" w:name="_Hlt526418103"/>
      <w:bookmarkEnd w:id="95"/>
      <w:bookmarkStart w:id="96" w:name="_Hlt526418107"/>
      <w:bookmarkEnd w:id="96"/>
    </w:p>
    <w:p>
      <w:pPr>
        <w:spacing w:line="360" w:lineRule="auto"/>
        <w:rPr>
          <w:rFonts w:ascii="宋体" w:hAnsi="宋体" w:cs="宋体"/>
          <w:b/>
          <w:bCs/>
          <w:color w:val="auto"/>
          <w:sz w:val="24"/>
          <w:highlight w:val="none"/>
        </w:rPr>
      </w:pPr>
      <w:r>
        <w:rPr>
          <w:rFonts w:hint="eastAsia" w:ascii="宋体" w:hAnsi="宋体" w:cs="宋体"/>
          <w:color w:val="auto"/>
          <w:sz w:val="24"/>
          <w:highlight w:val="none"/>
        </w:rPr>
        <w:t>注意：供应商应确保上述证明文件的真实性、有效性及合法性，否则，由此引起的任何责任都由供应商自行承担。</w:t>
      </w:r>
    </w:p>
    <w:p>
      <w:pPr>
        <w:pStyle w:val="7"/>
        <w:rPr>
          <w:rFonts w:ascii="宋体" w:hAnsi="宋体" w:cs="宋体"/>
          <w:bCs/>
          <w:color w:val="auto"/>
          <w:sz w:val="21"/>
          <w:szCs w:val="21"/>
          <w:highlight w:val="none"/>
        </w:rPr>
      </w:pPr>
    </w:p>
    <w:p>
      <w:pPr>
        <w:rPr>
          <w:rFonts w:ascii="宋体" w:hAnsi="宋体" w:cs="宋体"/>
          <w:b/>
          <w:bCs/>
          <w:color w:val="auto"/>
          <w:szCs w:val="21"/>
          <w:highlight w:val="none"/>
        </w:rPr>
      </w:pPr>
    </w:p>
    <w:p>
      <w:pPr>
        <w:pStyle w:val="7"/>
        <w:rPr>
          <w:rFonts w:ascii="宋体" w:hAnsi="宋体" w:cs="宋体"/>
          <w:bCs/>
          <w:color w:val="auto"/>
          <w:sz w:val="21"/>
          <w:szCs w:val="21"/>
          <w:highlight w:val="none"/>
        </w:rPr>
      </w:pPr>
    </w:p>
    <w:p>
      <w:pPr>
        <w:rPr>
          <w:rFonts w:ascii="宋体" w:hAnsi="宋体" w:cs="宋体"/>
          <w:b/>
          <w:bCs/>
          <w:color w:val="auto"/>
          <w:szCs w:val="21"/>
          <w:highlight w:val="none"/>
        </w:rPr>
      </w:pPr>
    </w:p>
    <w:p>
      <w:pPr>
        <w:spacing w:line="360" w:lineRule="auto"/>
        <w:rPr>
          <w:rFonts w:ascii="宋体" w:hAnsi="宋体" w:cs="宋体"/>
          <w:b/>
          <w:bCs/>
          <w:color w:val="auto"/>
          <w:sz w:val="24"/>
          <w:highlight w:val="none"/>
        </w:rPr>
      </w:pPr>
    </w:p>
    <w:p>
      <w:pPr>
        <w:jc w:val="center"/>
        <w:rPr>
          <w:rFonts w:ascii="宋体" w:hAnsi="宋体" w:cs="宋体"/>
          <w:b/>
          <w:color w:val="auto"/>
          <w:highlight w:val="none"/>
        </w:rPr>
      </w:pPr>
      <w:r>
        <w:rPr>
          <w:rFonts w:hint="eastAsia" w:ascii="宋体" w:hAnsi="宋体" w:cs="宋体"/>
          <w:color w:val="auto"/>
          <w:highlight w:val="none"/>
        </w:rPr>
        <w:br w:type="page"/>
      </w:r>
      <w:r>
        <w:rPr>
          <w:rFonts w:hint="eastAsia" w:ascii="宋体" w:hAnsi="宋体" w:cs="宋体"/>
          <w:b/>
          <w:bCs/>
          <w:color w:val="auto"/>
          <w:sz w:val="28"/>
          <w:szCs w:val="28"/>
          <w:highlight w:val="none"/>
        </w:rPr>
        <w:t>七、技术和商务偏离说明</w:t>
      </w:r>
    </w:p>
    <w:p>
      <w:pPr>
        <w:pStyle w:val="13"/>
        <w:spacing w:before="120"/>
        <w:ind w:left="0" w:right="34"/>
        <w:jc w:val="both"/>
        <w:rPr>
          <w:b/>
          <w:color w:val="auto"/>
          <w:highlight w:val="none"/>
        </w:rPr>
      </w:pPr>
      <w:r>
        <w:rPr>
          <w:rFonts w:hint="eastAsia"/>
          <w:b/>
          <w:color w:val="auto"/>
          <w:highlight w:val="none"/>
        </w:rPr>
        <w:t>1、技术偏离表</w:t>
      </w:r>
    </w:p>
    <w:tbl>
      <w:tblPr>
        <w:tblStyle w:val="2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left="0" w:right="34"/>
              <w:jc w:val="center"/>
              <w:rPr>
                <w:b/>
                <w:color w:val="auto"/>
                <w:highlight w:val="none"/>
              </w:rPr>
            </w:pPr>
            <w:r>
              <w:rPr>
                <w:rFonts w:hint="eastAsia"/>
                <w:b/>
                <w:color w:val="auto"/>
                <w:highlight w:val="none"/>
              </w:rPr>
              <w:t>序号</w:t>
            </w:r>
          </w:p>
        </w:tc>
        <w:tc>
          <w:tcPr>
            <w:tcW w:w="1823" w:type="dxa"/>
            <w:vAlign w:val="center"/>
          </w:tcPr>
          <w:p>
            <w:pPr>
              <w:pStyle w:val="13"/>
              <w:spacing w:before="120"/>
              <w:ind w:left="0" w:right="34"/>
              <w:jc w:val="center"/>
              <w:rPr>
                <w:b/>
                <w:color w:val="auto"/>
                <w:highlight w:val="none"/>
              </w:rPr>
            </w:pPr>
            <w:r>
              <w:rPr>
                <w:rFonts w:hint="eastAsia"/>
                <w:b/>
                <w:color w:val="auto"/>
                <w:highlight w:val="none"/>
              </w:rPr>
              <w:t>磋商要求</w:t>
            </w:r>
          </w:p>
        </w:tc>
        <w:tc>
          <w:tcPr>
            <w:tcW w:w="1824" w:type="dxa"/>
            <w:vAlign w:val="center"/>
          </w:tcPr>
          <w:p>
            <w:pPr>
              <w:pStyle w:val="13"/>
              <w:spacing w:before="120"/>
              <w:ind w:left="0" w:right="34"/>
              <w:jc w:val="center"/>
              <w:rPr>
                <w:b/>
                <w:color w:val="auto"/>
                <w:highlight w:val="none"/>
              </w:rPr>
            </w:pPr>
            <w:r>
              <w:rPr>
                <w:rFonts w:hint="eastAsia"/>
                <w:b/>
                <w:color w:val="auto"/>
                <w:highlight w:val="none"/>
              </w:rPr>
              <w:t>磋商应答</w:t>
            </w:r>
          </w:p>
        </w:tc>
        <w:tc>
          <w:tcPr>
            <w:tcW w:w="1824" w:type="dxa"/>
            <w:vAlign w:val="center"/>
          </w:tcPr>
          <w:p>
            <w:pPr>
              <w:pStyle w:val="13"/>
              <w:spacing w:before="120"/>
              <w:ind w:left="0" w:right="34"/>
              <w:jc w:val="center"/>
              <w:rPr>
                <w:b/>
                <w:color w:val="auto"/>
                <w:highlight w:val="none"/>
              </w:rPr>
            </w:pPr>
            <w:r>
              <w:rPr>
                <w:rFonts w:hint="eastAsia"/>
                <w:b/>
                <w:color w:val="auto"/>
                <w:highlight w:val="none"/>
              </w:rPr>
              <w:t>偏离</w:t>
            </w:r>
          </w:p>
        </w:tc>
        <w:tc>
          <w:tcPr>
            <w:tcW w:w="1824" w:type="dxa"/>
            <w:vAlign w:val="center"/>
          </w:tcPr>
          <w:p>
            <w:pPr>
              <w:pStyle w:val="13"/>
              <w:spacing w:before="120"/>
              <w:ind w:left="0" w:right="34"/>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bl>
    <w:p>
      <w:pPr>
        <w:pStyle w:val="13"/>
        <w:spacing w:before="120"/>
        <w:ind w:left="0" w:right="34"/>
        <w:jc w:val="both"/>
        <w:rPr>
          <w:rFonts w:ascii="宋体" w:hAnsi="宋体" w:cs="宋体"/>
          <w:bCs/>
          <w:color w:val="auto"/>
          <w:highlight w:val="none"/>
        </w:rPr>
      </w:pPr>
      <w:r>
        <w:rPr>
          <w:rFonts w:hint="eastAsia" w:ascii="宋体" w:hAnsi="宋体" w:cs="宋体"/>
          <w:bCs/>
          <w:color w:val="auto"/>
          <w:highlight w:val="none"/>
        </w:rPr>
        <w:t>备注:</w:t>
      </w:r>
    </w:p>
    <w:p>
      <w:pPr>
        <w:pStyle w:val="13"/>
        <w:spacing w:before="120" w:line="360" w:lineRule="auto"/>
        <w:ind w:left="0" w:right="34" w:firstLine="480" w:firstLineChars="200"/>
        <w:jc w:val="both"/>
        <w:rPr>
          <w:rFonts w:ascii="宋体" w:hAnsi="宋体" w:cs="宋体"/>
          <w:bCs/>
          <w:color w:val="auto"/>
          <w:highlight w:val="none"/>
        </w:rPr>
      </w:pPr>
      <w:r>
        <w:rPr>
          <w:rFonts w:hint="eastAsia" w:ascii="宋体" w:hAnsi="宋体" w:cs="宋体"/>
          <w:bCs/>
          <w:color w:val="auto"/>
          <w:highlight w:val="none"/>
        </w:rPr>
        <w:t>1、供应商须如实逐条填写该表，如将“磋商内容及要求”复制至“磋商应答”中以达到供应商技术响应要求，将导致磋商响应文件按无效处理，供应商应逐条如实填写并提供相应的支持文件。如有隐瞒，后果由供应商自负。</w:t>
      </w:r>
    </w:p>
    <w:p>
      <w:pPr>
        <w:pStyle w:val="13"/>
        <w:spacing w:before="120" w:line="360" w:lineRule="auto"/>
        <w:ind w:left="0" w:right="34" w:firstLine="480" w:firstLineChars="200"/>
        <w:jc w:val="both"/>
        <w:rPr>
          <w:rFonts w:ascii="宋体" w:hAnsi="宋体" w:cs="宋体"/>
          <w:bCs/>
          <w:color w:val="auto"/>
          <w:highlight w:val="none"/>
        </w:rPr>
      </w:pPr>
      <w:r>
        <w:rPr>
          <w:rFonts w:hint="eastAsia" w:ascii="宋体" w:hAnsi="宋体" w:cs="宋体"/>
          <w:bCs/>
          <w:color w:val="auto"/>
          <w:highlight w:val="none"/>
        </w:rPr>
        <w:t>2、本表应按照磋商文件磋商内容及要求部分逐条响应，如有漏项视为没有实质性响应磋商文件。</w:t>
      </w:r>
    </w:p>
    <w:p>
      <w:pPr>
        <w:pStyle w:val="13"/>
        <w:spacing w:before="120" w:line="360" w:lineRule="auto"/>
        <w:ind w:left="0" w:right="34" w:firstLine="480" w:firstLineChars="200"/>
        <w:jc w:val="both"/>
        <w:rPr>
          <w:rFonts w:ascii="宋体" w:hAnsi="宋体" w:cs="宋体"/>
          <w:bCs/>
          <w:color w:val="auto"/>
          <w:highlight w:val="none"/>
        </w:rPr>
      </w:pPr>
      <w:r>
        <w:rPr>
          <w:rFonts w:hint="eastAsia" w:ascii="宋体" w:hAnsi="宋体" w:cs="宋体"/>
          <w:bCs/>
          <w:color w:val="auto"/>
          <w:highlight w:val="none"/>
        </w:rPr>
        <w:t>3、即使微小的偏差也须写出，偏离内容填写“正偏离”、“负偏离”或“无偏离”。（正偏离需提供相关佐证材料）。</w:t>
      </w:r>
    </w:p>
    <w:p>
      <w:pPr>
        <w:pStyle w:val="13"/>
        <w:spacing w:before="120"/>
        <w:ind w:left="0" w:right="34"/>
        <w:jc w:val="both"/>
        <w:rPr>
          <w:bCs/>
          <w:color w:val="auto"/>
          <w:highlight w:val="none"/>
        </w:rPr>
      </w:pPr>
    </w:p>
    <w:p>
      <w:pPr>
        <w:pStyle w:val="13"/>
        <w:spacing w:before="120"/>
        <w:ind w:left="0" w:right="34"/>
        <w:jc w:val="both"/>
        <w:rPr>
          <w:bCs/>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法定代表人或委托代理人（签字或盖章）：</w:t>
      </w:r>
    </w:p>
    <w:p>
      <w:pPr>
        <w:rPr>
          <w:rFonts w:ascii="宋体" w:hAnsi="宋体" w:cs="宋体"/>
          <w:color w:val="auto"/>
          <w:sz w:val="24"/>
          <w:highlight w:val="none"/>
          <w:u w:val="single"/>
        </w:rPr>
      </w:pPr>
    </w:p>
    <w:p>
      <w:pPr>
        <w:ind w:right="420"/>
        <w:rPr>
          <w:rFonts w:ascii="宋体" w:hAnsi="宋体" w:cs="宋体"/>
          <w:color w:val="auto"/>
          <w:sz w:val="24"/>
          <w:highlight w:val="none"/>
        </w:rPr>
      </w:pPr>
      <w:r>
        <w:rPr>
          <w:rFonts w:hint="eastAsia" w:ascii="宋体" w:hAnsi="宋体" w:cs="宋体"/>
          <w:color w:val="auto"/>
          <w:sz w:val="24"/>
          <w:highlight w:val="none"/>
        </w:rPr>
        <w:t>日  期：   年   月   日</w:t>
      </w: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3"/>
        <w:spacing w:before="120"/>
        <w:ind w:left="0" w:right="34"/>
        <w:rPr>
          <w:b/>
          <w:color w:val="auto"/>
          <w:highlight w:val="none"/>
        </w:rPr>
      </w:pPr>
      <w:r>
        <w:rPr>
          <w:rFonts w:hint="eastAsia"/>
          <w:b/>
          <w:color w:val="auto"/>
          <w:highlight w:val="none"/>
        </w:rPr>
        <w:t>2、商务偏离表</w:t>
      </w:r>
    </w:p>
    <w:tbl>
      <w:tblPr>
        <w:tblStyle w:val="2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left="0" w:right="34"/>
              <w:jc w:val="center"/>
              <w:rPr>
                <w:b/>
                <w:color w:val="auto"/>
                <w:highlight w:val="none"/>
              </w:rPr>
            </w:pPr>
            <w:r>
              <w:rPr>
                <w:rFonts w:hint="eastAsia"/>
                <w:b/>
                <w:color w:val="auto"/>
                <w:highlight w:val="none"/>
              </w:rPr>
              <w:t>序号</w:t>
            </w:r>
          </w:p>
        </w:tc>
        <w:tc>
          <w:tcPr>
            <w:tcW w:w="1823" w:type="dxa"/>
            <w:vAlign w:val="center"/>
          </w:tcPr>
          <w:p>
            <w:pPr>
              <w:pStyle w:val="13"/>
              <w:spacing w:before="120"/>
              <w:ind w:left="0" w:right="34"/>
              <w:jc w:val="center"/>
              <w:rPr>
                <w:b/>
                <w:color w:val="auto"/>
                <w:highlight w:val="none"/>
              </w:rPr>
            </w:pPr>
            <w:r>
              <w:rPr>
                <w:rFonts w:hint="eastAsia"/>
                <w:b/>
                <w:color w:val="auto"/>
                <w:highlight w:val="none"/>
              </w:rPr>
              <w:t>磋商要求</w:t>
            </w:r>
          </w:p>
        </w:tc>
        <w:tc>
          <w:tcPr>
            <w:tcW w:w="1824" w:type="dxa"/>
            <w:vAlign w:val="center"/>
          </w:tcPr>
          <w:p>
            <w:pPr>
              <w:pStyle w:val="13"/>
              <w:spacing w:before="120"/>
              <w:ind w:left="0" w:right="34"/>
              <w:jc w:val="center"/>
              <w:rPr>
                <w:b/>
                <w:color w:val="auto"/>
                <w:highlight w:val="none"/>
              </w:rPr>
            </w:pPr>
            <w:r>
              <w:rPr>
                <w:rFonts w:hint="eastAsia"/>
                <w:b/>
                <w:color w:val="auto"/>
                <w:highlight w:val="none"/>
              </w:rPr>
              <w:t>磋商应答</w:t>
            </w:r>
          </w:p>
        </w:tc>
        <w:tc>
          <w:tcPr>
            <w:tcW w:w="1824" w:type="dxa"/>
            <w:vAlign w:val="center"/>
          </w:tcPr>
          <w:p>
            <w:pPr>
              <w:pStyle w:val="13"/>
              <w:spacing w:before="120"/>
              <w:ind w:left="0" w:right="34"/>
              <w:jc w:val="center"/>
              <w:rPr>
                <w:b/>
                <w:color w:val="auto"/>
                <w:highlight w:val="none"/>
              </w:rPr>
            </w:pPr>
            <w:r>
              <w:rPr>
                <w:rFonts w:hint="eastAsia"/>
                <w:b/>
                <w:color w:val="auto"/>
                <w:highlight w:val="none"/>
              </w:rPr>
              <w:t>偏离</w:t>
            </w:r>
          </w:p>
        </w:tc>
        <w:tc>
          <w:tcPr>
            <w:tcW w:w="1824" w:type="dxa"/>
            <w:vAlign w:val="center"/>
          </w:tcPr>
          <w:p>
            <w:pPr>
              <w:pStyle w:val="13"/>
              <w:spacing w:before="120"/>
              <w:ind w:left="0" w:right="34"/>
              <w:jc w:val="center"/>
              <w:rPr>
                <w:b/>
                <w:color w:val="auto"/>
                <w:highlight w:val="none"/>
              </w:rPr>
            </w:pPr>
            <w:r>
              <w:rPr>
                <w:rFonts w:hint="eastAsia"/>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vAlign w:val="center"/>
          </w:tcPr>
          <w:p>
            <w:pPr>
              <w:pStyle w:val="13"/>
              <w:spacing w:before="120"/>
              <w:ind w:right="34"/>
              <w:jc w:val="center"/>
              <w:rPr>
                <w:b/>
                <w:color w:val="auto"/>
                <w:highlight w:val="none"/>
              </w:rPr>
            </w:pPr>
          </w:p>
        </w:tc>
        <w:tc>
          <w:tcPr>
            <w:tcW w:w="1823"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c>
          <w:tcPr>
            <w:tcW w:w="1824" w:type="dxa"/>
            <w:vAlign w:val="center"/>
          </w:tcPr>
          <w:p>
            <w:pPr>
              <w:pStyle w:val="13"/>
              <w:spacing w:before="120"/>
              <w:ind w:right="34"/>
              <w:jc w:val="center"/>
              <w:rPr>
                <w:b/>
                <w:color w:val="auto"/>
                <w:highlight w:val="none"/>
              </w:rPr>
            </w:pPr>
          </w:p>
        </w:tc>
      </w:tr>
    </w:tbl>
    <w:p>
      <w:pPr>
        <w:pStyle w:val="13"/>
        <w:spacing w:before="120"/>
        <w:ind w:left="0" w:right="34"/>
        <w:jc w:val="both"/>
        <w:rPr>
          <w:bCs/>
          <w:color w:val="auto"/>
          <w:highlight w:val="none"/>
        </w:rPr>
      </w:pPr>
      <w:r>
        <w:rPr>
          <w:rFonts w:hint="eastAsia"/>
          <w:bCs/>
          <w:color w:val="auto"/>
          <w:highlight w:val="none"/>
        </w:rPr>
        <w:t>备注：</w:t>
      </w:r>
    </w:p>
    <w:p>
      <w:pPr>
        <w:pStyle w:val="13"/>
        <w:spacing w:before="120" w:line="360" w:lineRule="auto"/>
        <w:ind w:left="0" w:right="34"/>
        <w:jc w:val="both"/>
        <w:rPr>
          <w:rFonts w:ascii="宋体" w:hAnsi="宋体" w:cs="宋体"/>
          <w:bCs/>
          <w:color w:val="auto"/>
          <w:highlight w:val="none"/>
        </w:rPr>
      </w:pPr>
      <w:r>
        <w:rPr>
          <w:rFonts w:hint="eastAsia" w:ascii="宋体" w:hAnsi="宋体" w:cs="宋体"/>
          <w:bCs/>
          <w:color w:val="auto"/>
          <w:highlight w:val="none"/>
        </w:rPr>
        <w:t>1、本表应按照磋商文件第四部分商务及合同主要条款部分，第3条至11条逐条响应，如有漏项视为没有实质性响应磋商文件。</w:t>
      </w:r>
    </w:p>
    <w:p>
      <w:pPr>
        <w:pStyle w:val="13"/>
        <w:spacing w:before="120" w:line="360" w:lineRule="auto"/>
        <w:ind w:left="0" w:right="34"/>
        <w:jc w:val="both"/>
        <w:rPr>
          <w:bCs/>
          <w:color w:val="auto"/>
          <w:highlight w:val="none"/>
        </w:rPr>
      </w:pPr>
      <w:r>
        <w:rPr>
          <w:rFonts w:hint="eastAsia" w:ascii="宋体" w:hAnsi="宋体" w:cs="宋体"/>
          <w:bCs/>
          <w:color w:val="auto"/>
          <w:highlight w:val="none"/>
        </w:rPr>
        <w:t>2、即使微小的偏差也须写出，偏离内容填写“正偏离”、“负偏离”或“无偏离”。</w:t>
      </w:r>
      <w:r>
        <w:rPr>
          <w:rFonts w:hint="eastAsia"/>
          <w:bCs/>
          <w:color w:val="auto"/>
          <w:highlight w:val="none"/>
        </w:rPr>
        <w:t>（正偏离需提供相关佐证材料）。</w:t>
      </w:r>
    </w:p>
    <w:p>
      <w:pPr>
        <w:ind w:firstLine="420" w:firstLineChars="200"/>
        <w:rPr>
          <w:rFonts w:ascii="宋体" w:hAnsi="宋体" w:cs="宋体"/>
          <w:color w:val="auto"/>
          <w:szCs w:val="21"/>
          <w:highlight w:val="none"/>
        </w:rPr>
      </w:pPr>
    </w:p>
    <w:p>
      <w:pPr>
        <w:ind w:firstLine="420" w:firstLineChars="200"/>
        <w:rPr>
          <w:rFonts w:ascii="宋体" w:hAnsi="宋体" w:cs="宋体"/>
          <w:color w:val="auto"/>
          <w:szCs w:val="21"/>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法定代表人或委托代理人（签字或盖章）：</w:t>
      </w:r>
    </w:p>
    <w:p>
      <w:pPr>
        <w:rPr>
          <w:rFonts w:ascii="宋体" w:hAnsi="宋体" w:cs="宋体"/>
          <w:color w:val="auto"/>
          <w:sz w:val="24"/>
          <w:highlight w:val="none"/>
          <w:u w:val="single"/>
        </w:rPr>
      </w:pPr>
    </w:p>
    <w:p>
      <w:pPr>
        <w:overflowPunct w:val="0"/>
        <w:spacing w:line="360" w:lineRule="auto"/>
        <w:jc w:val="center"/>
        <w:rPr>
          <w:color w:val="auto"/>
          <w:highlight w:val="none"/>
        </w:rPr>
      </w:pPr>
      <w:r>
        <w:rPr>
          <w:rFonts w:hint="eastAsia" w:ascii="宋体" w:hAnsi="宋体" w:cs="宋体"/>
          <w:color w:val="auto"/>
          <w:sz w:val="24"/>
          <w:highlight w:val="none"/>
        </w:rPr>
        <w:t xml:space="preserve">                         日      期：   年   月   日</w:t>
      </w: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八、资格证明文件</w:t>
      </w:r>
    </w:p>
    <w:p>
      <w:pPr>
        <w:overflowPunct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磋商供应商情况表</w:t>
      </w:r>
    </w:p>
    <w:tbl>
      <w:tblPr>
        <w:tblStyle w:val="24"/>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470"/>
        <w:gridCol w:w="1294"/>
        <w:gridCol w:w="372"/>
        <w:gridCol w:w="968"/>
        <w:gridCol w:w="902"/>
        <w:gridCol w:w="36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单位名称</w:t>
            </w:r>
          </w:p>
        </w:tc>
        <w:tc>
          <w:tcPr>
            <w:tcW w:w="3136" w:type="dxa"/>
            <w:gridSpan w:val="3"/>
          </w:tcPr>
          <w:p>
            <w:pPr>
              <w:overflowPunct w:val="0"/>
              <w:spacing w:line="400" w:lineRule="atLeast"/>
              <w:jc w:val="center"/>
              <w:rPr>
                <w:rFonts w:ascii="宋体" w:hAnsi="宋体" w:cs="宋体"/>
                <w:color w:val="auto"/>
                <w:sz w:val="24"/>
                <w:highlight w:val="none"/>
              </w:rPr>
            </w:pPr>
          </w:p>
        </w:tc>
        <w:tc>
          <w:tcPr>
            <w:tcW w:w="1870" w:type="dxa"/>
            <w:gridSpan w:val="2"/>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组织机构代码</w:t>
            </w:r>
          </w:p>
        </w:tc>
        <w:tc>
          <w:tcPr>
            <w:tcW w:w="1871" w:type="dxa"/>
            <w:gridSpan w:val="2"/>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营业执照编号</w:t>
            </w:r>
          </w:p>
        </w:tc>
        <w:tc>
          <w:tcPr>
            <w:tcW w:w="3136" w:type="dxa"/>
            <w:gridSpan w:val="3"/>
          </w:tcPr>
          <w:p>
            <w:pPr>
              <w:overflowPunct w:val="0"/>
              <w:spacing w:line="400" w:lineRule="atLeast"/>
              <w:jc w:val="center"/>
              <w:rPr>
                <w:rFonts w:ascii="宋体" w:hAnsi="宋体" w:cs="宋体"/>
                <w:color w:val="auto"/>
                <w:sz w:val="24"/>
                <w:highlight w:val="none"/>
              </w:rPr>
            </w:pPr>
          </w:p>
        </w:tc>
        <w:tc>
          <w:tcPr>
            <w:tcW w:w="1870" w:type="dxa"/>
            <w:gridSpan w:val="2"/>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注册日期</w:t>
            </w:r>
          </w:p>
        </w:tc>
        <w:tc>
          <w:tcPr>
            <w:tcW w:w="1871" w:type="dxa"/>
            <w:gridSpan w:val="2"/>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营业地址</w:t>
            </w:r>
          </w:p>
        </w:tc>
        <w:tc>
          <w:tcPr>
            <w:tcW w:w="3136" w:type="dxa"/>
            <w:gridSpan w:val="3"/>
          </w:tcPr>
          <w:p>
            <w:pPr>
              <w:overflowPunct w:val="0"/>
              <w:spacing w:line="400" w:lineRule="atLeast"/>
              <w:jc w:val="center"/>
              <w:rPr>
                <w:rFonts w:ascii="宋体" w:hAnsi="宋体" w:cs="宋体"/>
                <w:color w:val="auto"/>
                <w:sz w:val="24"/>
                <w:highlight w:val="none"/>
              </w:rPr>
            </w:pPr>
          </w:p>
        </w:tc>
        <w:tc>
          <w:tcPr>
            <w:tcW w:w="1870" w:type="dxa"/>
            <w:gridSpan w:val="2"/>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注册资金</w:t>
            </w:r>
          </w:p>
        </w:tc>
        <w:tc>
          <w:tcPr>
            <w:tcW w:w="1871" w:type="dxa"/>
            <w:gridSpan w:val="2"/>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法定代表人</w:t>
            </w:r>
          </w:p>
        </w:tc>
        <w:tc>
          <w:tcPr>
            <w:tcW w:w="1470" w:type="dxa"/>
          </w:tcPr>
          <w:p>
            <w:pPr>
              <w:overflowPunct w:val="0"/>
              <w:spacing w:line="400" w:lineRule="atLeast"/>
              <w:jc w:val="center"/>
              <w:rPr>
                <w:rFonts w:ascii="宋体" w:hAnsi="宋体" w:cs="宋体"/>
                <w:color w:val="auto"/>
                <w:sz w:val="24"/>
                <w:highlight w:val="none"/>
              </w:rPr>
            </w:pPr>
          </w:p>
        </w:tc>
        <w:tc>
          <w:tcPr>
            <w:tcW w:w="1294"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手机</w:t>
            </w:r>
          </w:p>
        </w:tc>
        <w:tc>
          <w:tcPr>
            <w:tcW w:w="1340" w:type="dxa"/>
            <w:gridSpan w:val="2"/>
          </w:tcPr>
          <w:p>
            <w:pPr>
              <w:overflowPunct w:val="0"/>
              <w:spacing w:line="400" w:lineRule="atLeast"/>
              <w:jc w:val="center"/>
              <w:rPr>
                <w:rFonts w:ascii="宋体" w:hAnsi="宋体" w:cs="宋体"/>
                <w:color w:val="auto"/>
                <w:sz w:val="24"/>
                <w:highlight w:val="none"/>
              </w:rPr>
            </w:pPr>
          </w:p>
        </w:tc>
        <w:tc>
          <w:tcPr>
            <w:tcW w:w="1263" w:type="dxa"/>
            <w:gridSpan w:val="2"/>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座机</w:t>
            </w:r>
          </w:p>
        </w:tc>
        <w:tc>
          <w:tcPr>
            <w:tcW w:w="1510" w:type="dxa"/>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授权代表人</w:t>
            </w:r>
          </w:p>
        </w:tc>
        <w:tc>
          <w:tcPr>
            <w:tcW w:w="1470" w:type="dxa"/>
          </w:tcPr>
          <w:p>
            <w:pPr>
              <w:overflowPunct w:val="0"/>
              <w:spacing w:line="400" w:lineRule="atLeast"/>
              <w:jc w:val="center"/>
              <w:rPr>
                <w:rFonts w:ascii="宋体" w:hAnsi="宋体" w:cs="宋体"/>
                <w:color w:val="auto"/>
                <w:sz w:val="24"/>
                <w:highlight w:val="none"/>
              </w:rPr>
            </w:pPr>
          </w:p>
        </w:tc>
        <w:tc>
          <w:tcPr>
            <w:tcW w:w="1294"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手机</w:t>
            </w:r>
          </w:p>
        </w:tc>
        <w:tc>
          <w:tcPr>
            <w:tcW w:w="1340" w:type="dxa"/>
            <w:gridSpan w:val="2"/>
          </w:tcPr>
          <w:p>
            <w:pPr>
              <w:overflowPunct w:val="0"/>
              <w:spacing w:line="400" w:lineRule="atLeast"/>
              <w:jc w:val="center"/>
              <w:rPr>
                <w:rFonts w:ascii="宋体" w:hAnsi="宋体" w:cs="宋体"/>
                <w:color w:val="auto"/>
                <w:sz w:val="24"/>
                <w:highlight w:val="none"/>
              </w:rPr>
            </w:pPr>
          </w:p>
        </w:tc>
        <w:tc>
          <w:tcPr>
            <w:tcW w:w="1263" w:type="dxa"/>
            <w:gridSpan w:val="2"/>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座机</w:t>
            </w:r>
          </w:p>
        </w:tc>
        <w:tc>
          <w:tcPr>
            <w:tcW w:w="1510" w:type="dxa"/>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企业基本户开户行</w:t>
            </w:r>
          </w:p>
        </w:tc>
        <w:tc>
          <w:tcPr>
            <w:tcW w:w="6877" w:type="dxa"/>
            <w:gridSpan w:val="7"/>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账号</w:t>
            </w:r>
          </w:p>
        </w:tc>
        <w:tc>
          <w:tcPr>
            <w:tcW w:w="6877" w:type="dxa"/>
            <w:gridSpan w:val="7"/>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主要营业范围</w:t>
            </w:r>
          </w:p>
        </w:tc>
        <w:tc>
          <w:tcPr>
            <w:tcW w:w="6877" w:type="dxa"/>
            <w:gridSpan w:val="7"/>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企业概况</w:t>
            </w:r>
          </w:p>
        </w:tc>
        <w:tc>
          <w:tcPr>
            <w:tcW w:w="6877" w:type="dxa"/>
            <w:gridSpan w:val="7"/>
          </w:tcPr>
          <w:p>
            <w:pPr>
              <w:overflowPunct w:val="0"/>
              <w:spacing w:line="400" w:lineRule="atLeas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pPr>
              <w:overflowPunct w:val="0"/>
              <w:spacing w:line="400" w:lineRule="atLeast"/>
              <w:jc w:val="center"/>
              <w:rPr>
                <w:rFonts w:ascii="宋体" w:hAnsi="宋体" w:cs="宋体"/>
                <w:color w:val="auto"/>
                <w:sz w:val="24"/>
                <w:highlight w:val="none"/>
              </w:rPr>
            </w:pPr>
            <w:r>
              <w:rPr>
                <w:rFonts w:hint="eastAsia" w:ascii="宋体" w:hAnsi="宋体" w:cs="宋体"/>
                <w:color w:val="auto"/>
                <w:sz w:val="24"/>
                <w:highlight w:val="none"/>
              </w:rPr>
              <w:t>备注</w:t>
            </w:r>
          </w:p>
        </w:tc>
        <w:tc>
          <w:tcPr>
            <w:tcW w:w="6877" w:type="dxa"/>
            <w:gridSpan w:val="7"/>
          </w:tcPr>
          <w:p>
            <w:pPr>
              <w:overflowPunct w:val="0"/>
              <w:spacing w:line="400" w:lineRule="atLeast"/>
              <w:jc w:val="center"/>
              <w:rPr>
                <w:rFonts w:ascii="宋体" w:hAnsi="宋体" w:cs="宋体"/>
                <w:color w:val="auto"/>
                <w:sz w:val="24"/>
                <w:highlight w:val="none"/>
              </w:rPr>
            </w:pPr>
          </w:p>
        </w:tc>
      </w:tr>
    </w:tbl>
    <w:p>
      <w:pPr>
        <w:overflowPunct w:val="0"/>
        <w:spacing w:line="360" w:lineRule="auto"/>
        <w:rPr>
          <w:rFonts w:ascii="宋体" w:hAnsi="宋体" w:cs="宋体"/>
          <w:color w:val="auto"/>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z w:val="24"/>
          <w:highlight w:val="none"/>
          <w:u w:val="single"/>
        </w:rPr>
      </w:pPr>
      <w:r>
        <w:rPr>
          <w:rFonts w:hint="eastAsia" w:ascii="宋体" w:hAnsi="宋体" w:cs="宋体"/>
          <w:color w:val="auto"/>
          <w:sz w:val="24"/>
          <w:highlight w:val="none"/>
        </w:rPr>
        <w:t>法定代表人或委托代理人（签字或盖章）：</w:t>
      </w:r>
    </w:p>
    <w:p>
      <w:pPr>
        <w:rPr>
          <w:rFonts w:ascii="宋体" w:hAnsi="宋体" w:cs="宋体"/>
          <w:color w:val="auto"/>
          <w:sz w:val="24"/>
          <w:highlight w:val="none"/>
          <w:u w:val="single"/>
        </w:rPr>
      </w:pPr>
    </w:p>
    <w:p>
      <w:pPr>
        <w:pStyle w:val="11"/>
        <w:rPr>
          <w:color w:val="auto"/>
          <w:highlight w:val="none"/>
        </w:rPr>
      </w:pPr>
      <w:r>
        <w:rPr>
          <w:rFonts w:hint="eastAsia" w:ascii="宋体" w:hAnsi="宋体" w:cs="宋体"/>
          <w:color w:val="auto"/>
          <w:highlight w:val="none"/>
        </w:rPr>
        <w:t xml:space="preserve">                                     日      期：   年   月   日</w:t>
      </w:r>
    </w:p>
    <w:p>
      <w:pPr>
        <w:overflowPunct w:val="0"/>
        <w:spacing w:line="360" w:lineRule="auto"/>
        <w:rPr>
          <w:rFonts w:ascii="宋体" w:hAnsi="宋体" w:cs="宋体"/>
          <w:b/>
          <w:bCs/>
          <w:color w:val="auto"/>
          <w:sz w:val="28"/>
          <w:szCs w:val="28"/>
          <w:highlight w:val="none"/>
        </w:rPr>
      </w:pP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1、具有独立承担民事责任能力的法人、其他组织或自然人，提供合法有效的统一社会信用代码营业执照（事业单位提供事业单位法人证书，自然人提供身份证明）；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2、法定代表人直接参加磋商的，须出具法人身份证；法定代表人授权代表参加磋商的，须出具法定代表人授权书及授权代表身份证；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3、磋商保证金缴纳凭证或担保机构出具的保函；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4、财务状况报告：提供具有财务审计资质单位出具的上一年度财务报告或开标前六个月内其基本账户银行出具的资信证明；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5、社会保障资金缴纳证明：提供磋商前六个月内已缴存的任意时段的社会保障资金缴存单据或社保机构开具的社会保险参保缴费情况证明；依法不需要缴纳社会保障资金的应提供相关文件证明；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6、税收缴纳证明：提供磋商前六个月内已缴纳任意时段完税凭证或税务机关开具的完税证明（任意税种）；依法免税的应提供相关文件证明；</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 xml:space="preserve">7、供应商提供有效期内的《印刷经营许可证》； </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8、参加本次政府采购活动前三年内在经营活动中没有重大违法记录的书面声明；</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9、供应商不得为“信用中国”网站（www.creditchina.gov.cn）及“中国政府采购网”（www.ccgp.gov.cn/）列入失信被执行人、重大税收违法案件当事人名单、政府采购严重失信行为记录名单（提供信用中国网站下载的信用信息及政府采购严重失信行为记录名单截图）；</w:t>
      </w:r>
    </w:p>
    <w:p>
      <w:pPr>
        <w:spacing w:line="360" w:lineRule="auto"/>
        <w:ind w:left="210" w:leftChars="100"/>
        <w:rPr>
          <w:rFonts w:ascii="宋体" w:hAnsi="宋体" w:cs="宋体"/>
          <w:bCs/>
          <w:color w:val="auto"/>
          <w:kern w:val="0"/>
          <w:sz w:val="24"/>
          <w:highlight w:val="none"/>
        </w:rPr>
      </w:pPr>
      <w:r>
        <w:rPr>
          <w:rFonts w:hint="eastAsia" w:ascii="宋体" w:hAnsi="宋体" w:cs="宋体"/>
          <w:bCs/>
          <w:color w:val="auto"/>
          <w:kern w:val="0"/>
          <w:sz w:val="24"/>
          <w:highlight w:val="none"/>
        </w:rPr>
        <w:t>10、本项目不接受联合体。</w:t>
      </w:r>
    </w:p>
    <w:p>
      <w:pPr>
        <w:pStyle w:val="2"/>
        <w:ind w:firstLine="0" w:firstLineChars="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备注：</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1、除注明原件外，均为复印件加盖供应商公章并附在响应文件中。</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2、上述资格证明文件为必备资格，缺项或者符合性、有效性、合法性审核不合格的，按无效文件处理。</w:t>
      </w:r>
    </w:p>
    <w:p>
      <w:pPr>
        <w:overflowPunct w:val="0"/>
        <w:adjustRightInd w:val="0"/>
        <w:snapToGrid w:val="0"/>
        <w:spacing w:line="440" w:lineRule="exact"/>
        <w:ind w:firstLine="422" w:firstLineChars="200"/>
        <w:jc w:val="left"/>
        <w:rPr>
          <w:rFonts w:ascii="宋体" w:hAnsi="宋体" w:cs="宋体"/>
          <w:color w:val="auto"/>
          <w:sz w:val="24"/>
          <w:highlight w:val="none"/>
        </w:rPr>
      </w:pPr>
      <w:r>
        <w:rPr>
          <w:rFonts w:hint="eastAsia" w:ascii="宋体" w:hAnsi="宋体" w:cs="宋体"/>
          <w:b/>
          <w:bCs/>
          <w:color w:val="auto"/>
          <w:szCs w:val="21"/>
          <w:highlight w:val="none"/>
        </w:rPr>
        <w:t>3、未注明要求原件的资格证明文件，在磋商后的任何时间，磋商小组有权随时要求审查原件，如果磋商人不能按规定时间提供原件，按无效磋商处理。　　</w:t>
      </w:r>
      <w:r>
        <w:rPr>
          <w:rFonts w:hint="eastAsia" w:ascii="宋体" w:hAnsi="宋体" w:cs="宋体"/>
          <w:color w:val="auto"/>
          <w:kern w:val="0"/>
          <w:szCs w:val="21"/>
          <w:highlight w:val="none"/>
        </w:rPr>
        <w:t>　　　</w:t>
      </w:r>
      <w:r>
        <w:rPr>
          <w:rFonts w:hint="eastAsia" w:ascii="宋体" w:hAnsi="宋体" w:cs="宋体"/>
          <w:color w:val="auto"/>
          <w:kern w:val="0"/>
          <w:sz w:val="24"/>
          <w:highlight w:val="none"/>
        </w:rPr>
        <w:t>　</w:t>
      </w:r>
      <w:r>
        <w:rPr>
          <w:rFonts w:hint="eastAsia" w:ascii="宋体" w:hAnsi="宋体" w:cs="宋体"/>
          <w:color w:val="auto"/>
          <w:kern w:val="0"/>
          <w:szCs w:val="21"/>
          <w:highlight w:val="none"/>
        </w:rPr>
        <w:t>　　</w:t>
      </w:r>
      <w:r>
        <w:rPr>
          <w:rFonts w:hint="eastAsia" w:ascii="宋体" w:hAnsi="宋体" w:cs="宋体"/>
          <w:b/>
          <w:bCs/>
          <w:color w:val="auto"/>
          <w:sz w:val="28"/>
          <w:szCs w:val="28"/>
          <w:highlight w:val="none"/>
        </w:rPr>
        <w:br w:type="page"/>
      </w:r>
      <w:r>
        <w:rPr>
          <w:rFonts w:hint="eastAsia" w:ascii="宋体" w:hAnsi="宋体" w:cs="宋体"/>
          <w:bCs/>
          <w:color w:val="auto"/>
          <w:sz w:val="24"/>
          <w:highlight w:val="none"/>
        </w:rPr>
        <w:t>附1：</w:t>
      </w:r>
    </w:p>
    <w:p>
      <w:pPr>
        <w:spacing w:line="48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投标供应商近三年内无重大违法记录的书面声明函</w:t>
      </w:r>
    </w:p>
    <w:p>
      <w:pPr>
        <w:overflowPunct w:val="0"/>
        <w:spacing w:line="360" w:lineRule="auto"/>
        <w:rPr>
          <w:rFonts w:ascii="宋体" w:hAnsi="宋体" w:cs="宋体"/>
          <w:color w:val="auto"/>
          <w:spacing w:val="4"/>
          <w:szCs w:val="21"/>
          <w:highlight w:val="none"/>
          <w:u w:val="single"/>
        </w:rPr>
      </w:pPr>
    </w:p>
    <w:p>
      <w:pPr>
        <w:overflowPunct w:val="0"/>
        <w:spacing w:line="360" w:lineRule="auto"/>
        <w:rPr>
          <w:rFonts w:ascii="宋体" w:hAnsi="宋体" w:cs="宋体"/>
          <w:color w:val="auto"/>
          <w:spacing w:val="4"/>
          <w:szCs w:val="21"/>
          <w:highlight w:val="none"/>
          <w:u w:val="single"/>
        </w:rPr>
      </w:pPr>
    </w:p>
    <w:p>
      <w:pPr>
        <w:overflowPunct w:val="0"/>
        <w:spacing w:line="360" w:lineRule="auto"/>
        <w:rPr>
          <w:rFonts w:ascii="宋体" w:hAnsi="宋体" w:cs="宋体"/>
          <w:color w:val="auto"/>
          <w:spacing w:val="4"/>
          <w:sz w:val="24"/>
          <w:highlight w:val="none"/>
          <w:u w:val="single"/>
        </w:rPr>
      </w:pPr>
      <w:r>
        <w:rPr>
          <w:rFonts w:hint="eastAsia" w:ascii="宋体" w:hAnsi="宋体" w:cs="宋体"/>
          <w:color w:val="auto"/>
          <w:spacing w:val="4"/>
          <w:sz w:val="24"/>
          <w:highlight w:val="none"/>
          <w:u w:val="single"/>
        </w:rPr>
        <w:t>致：   （采购人名称）    ：</w:t>
      </w:r>
    </w:p>
    <w:p>
      <w:pPr>
        <w:overflowPunct w:val="0"/>
        <w:spacing w:before="317" w:beforeLines="100" w:after="158" w:afterLines="50" w:line="480" w:lineRule="auto"/>
        <w:ind w:firstLine="170"/>
        <w:rPr>
          <w:rFonts w:ascii="宋体" w:hAnsi="宋体" w:cs="宋体"/>
          <w:color w:val="auto"/>
          <w:spacing w:val="4"/>
          <w:sz w:val="24"/>
          <w:highlight w:val="none"/>
        </w:rPr>
      </w:pPr>
      <w:r>
        <w:rPr>
          <w:rFonts w:hint="eastAsia" w:ascii="宋体" w:hAnsi="宋体" w:cs="宋体"/>
          <w:color w:val="auto"/>
          <w:spacing w:val="4"/>
          <w:sz w:val="24"/>
          <w:highlight w:val="none"/>
        </w:rPr>
        <w:t xml:space="preserve"> （-------公司）为在中华人民共和国境内合法注册并经营的机构。在此郑重声明，我公司在参与本次政府采购活动前3年内在经营活动中没有重大违法记录。</w:t>
      </w:r>
    </w:p>
    <w:p>
      <w:pPr>
        <w:overflowPunct w:val="0"/>
        <w:spacing w:before="317" w:beforeLines="100" w:after="158" w:afterLines="50" w:line="360" w:lineRule="auto"/>
        <w:ind w:firstLine="170"/>
        <w:rPr>
          <w:rFonts w:ascii="宋体" w:hAnsi="宋体" w:cs="宋体"/>
          <w:color w:val="auto"/>
          <w:spacing w:val="4"/>
          <w:sz w:val="24"/>
          <w:highlight w:val="none"/>
        </w:rPr>
      </w:pPr>
    </w:p>
    <w:p>
      <w:pPr>
        <w:overflowPunct w:val="0"/>
        <w:spacing w:before="317" w:beforeLines="100" w:after="158" w:afterLines="50" w:line="360" w:lineRule="auto"/>
        <w:ind w:firstLine="170"/>
        <w:rPr>
          <w:rFonts w:ascii="宋体" w:hAnsi="宋体" w:cs="宋体"/>
          <w:color w:val="auto"/>
          <w:spacing w:val="4"/>
          <w:sz w:val="24"/>
          <w:highlight w:val="none"/>
        </w:rPr>
      </w:pPr>
    </w:p>
    <w:p>
      <w:pPr>
        <w:overflowPunct w:val="0"/>
        <w:spacing w:before="317" w:beforeLines="100" w:after="158" w:afterLines="50" w:line="360" w:lineRule="auto"/>
        <w:ind w:firstLine="170"/>
        <w:rPr>
          <w:rFonts w:ascii="宋体" w:hAnsi="宋体" w:cs="宋体"/>
          <w:color w:val="auto"/>
          <w:spacing w:val="4"/>
          <w:sz w:val="24"/>
          <w:highlight w:val="none"/>
        </w:rPr>
      </w:pPr>
    </w:p>
    <w:p>
      <w:pPr>
        <w:overflowPunct w:val="0"/>
        <w:spacing w:before="317" w:beforeLines="100" w:after="158" w:afterLines="50" w:line="360" w:lineRule="auto"/>
        <w:ind w:firstLine="170"/>
        <w:rPr>
          <w:rFonts w:ascii="宋体" w:hAnsi="宋体" w:cs="宋体"/>
          <w:color w:val="auto"/>
          <w:spacing w:val="4"/>
          <w:sz w:val="24"/>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pacing w:val="4"/>
          <w:sz w:val="24"/>
          <w:highlight w:val="none"/>
        </w:rPr>
      </w:pPr>
      <w:r>
        <w:rPr>
          <w:rFonts w:hint="eastAsia" w:ascii="宋体" w:hAnsi="宋体" w:cs="宋体"/>
          <w:color w:val="auto"/>
          <w:sz w:val="24"/>
          <w:highlight w:val="none"/>
        </w:rPr>
        <w:t>法定代表人或委托代理人（签字或盖章）：</w:t>
      </w:r>
      <w:r>
        <w:rPr>
          <w:rFonts w:hint="eastAsia" w:ascii="宋体" w:hAnsi="宋体" w:cs="宋体"/>
          <w:color w:val="auto"/>
          <w:spacing w:val="4"/>
          <w:sz w:val="24"/>
          <w:highlight w:val="none"/>
        </w:rPr>
        <w:t xml:space="preserve">            </w:t>
      </w:r>
    </w:p>
    <w:p>
      <w:pPr>
        <w:overflowPunct w:val="0"/>
        <w:spacing w:line="360" w:lineRule="auto"/>
        <w:ind w:left="1"/>
        <w:jc w:val="center"/>
        <w:rPr>
          <w:rFonts w:ascii="宋体" w:hAnsi="宋体" w:cs="宋体"/>
          <w:color w:val="auto"/>
          <w:spacing w:val="4"/>
          <w:sz w:val="24"/>
          <w:highlight w:val="none"/>
        </w:rPr>
      </w:pPr>
    </w:p>
    <w:p>
      <w:pPr>
        <w:overflowPunct w:val="0"/>
        <w:spacing w:line="360" w:lineRule="auto"/>
        <w:ind w:left="1"/>
        <w:jc w:val="center"/>
        <w:rPr>
          <w:rFonts w:ascii="宋体" w:hAnsi="宋体" w:cs="宋体"/>
          <w:color w:val="auto"/>
          <w:spacing w:val="4"/>
          <w:sz w:val="24"/>
          <w:highlight w:val="none"/>
        </w:rPr>
      </w:pPr>
      <w:r>
        <w:rPr>
          <w:rFonts w:hint="eastAsia" w:ascii="宋体" w:hAnsi="宋体" w:cs="宋体"/>
          <w:color w:val="auto"/>
          <w:spacing w:val="4"/>
          <w:sz w:val="24"/>
          <w:highlight w:val="none"/>
        </w:rPr>
        <w:t xml:space="preserve">                            日      期：   年     月    日</w:t>
      </w:r>
    </w:p>
    <w:p>
      <w:pPr>
        <w:pStyle w:val="13"/>
        <w:overflowPunct w:val="0"/>
        <w:spacing w:before="120"/>
        <w:ind w:left="2167" w:right="1470" w:hanging="697"/>
        <w:jc w:val="center"/>
        <w:rPr>
          <w:rFonts w:ascii="宋体" w:hAnsi="宋体" w:cs="宋体"/>
          <w:color w:val="auto"/>
          <w:highlight w:val="none"/>
        </w:rPr>
      </w:pPr>
    </w:p>
    <w:p>
      <w:pPr>
        <w:pStyle w:val="13"/>
        <w:overflowPunct w:val="0"/>
        <w:spacing w:before="120"/>
        <w:ind w:left="2167" w:right="1470" w:hanging="697"/>
        <w:jc w:val="center"/>
        <w:rPr>
          <w:rFonts w:ascii="宋体" w:hAnsi="宋体" w:cs="宋体"/>
          <w:color w:val="auto"/>
          <w:highlight w:val="none"/>
        </w:rPr>
      </w:pPr>
    </w:p>
    <w:p>
      <w:pPr>
        <w:overflowPunct w:val="0"/>
        <w:spacing w:line="360" w:lineRule="auto"/>
        <w:jc w:val="center"/>
        <w:outlineLvl w:val="0"/>
        <w:rPr>
          <w:rFonts w:ascii="宋体" w:hAnsi="宋体" w:cs="宋体"/>
          <w:b/>
          <w:bCs/>
          <w:color w:val="auto"/>
          <w:sz w:val="24"/>
          <w:highlight w:val="none"/>
        </w:rPr>
      </w:pPr>
    </w:p>
    <w:p>
      <w:pPr>
        <w:overflowPunct w:val="0"/>
        <w:spacing w:line="360" w:lineRule="auto"/>
        <w:jc w:val="center"/>
        <w:outlineLvl w:val="0"/>
        <w:rPr>
          <w:rFonts w:ascii="宋体" w:hAnsi="宋体" w:cs="宋体"/>
          <w:b/>
          <w:bCs/>
          <w:color w:val="auto"/>
          <w:sz w:val="24"/>
          <w:highlight w:val="none"/>
        </w:rPr>
      </w:pPr>
    </w:p>
    <w:p>
      <w:pPr>
        <w:overflowPunct w:val="0"/>
        <w:spacing w:line="360" w:lineRule="auto"/>
        <w:jc w:val="center"/>
        <w:outlineLvl w:val="0"/>
        <w:rPr>
          <w:rFonts w:ascii="宋体" w:hAnsi="宋体" w:cs="宋体"/>
          <w:b/>
          <w:bCs/>
          <w:color w:val="auto"/>
          <w:sz w:val="24"/>
          <w:highlight w:val="none"/>
        </w:rPr>
      </w:pPr>
    </w:p>
    <w:p>
      <w:pPr>
        <w:overflowPunct w:val="0"/>
        <w:spacing w:line="360" w:lineRule="auto"/>
        <w:jc w:val="center"/>
        <w:outlineLvl w:val="0"/>
        <w:rPr>
          <w:rFonts w:ascii="宋体" w:hAnsi="宋体" w:cs="宋体"/>
          <w:b/>
          <w:bCs/>
          <w:color w:val="auto"/>
          <w:sz w:val="24"/>
          <w:highlight w:val="none"/>
        </w:rPr>
      </w:pPr>
    </w:p>
    <w:p>
      <w:pPr>
        <w:pStyle w:val="11"/>
        <w:rPr>
          <w:color w:val="auto"/>
          <w:highlight w:val="none"/>
        </w:rPr>
      </w:pPr>
    </w:p>
    <w:p>
      <w:pPr>
        <w:overflowPunct w:val="0"/>
        <w:spacing w:line="360" w:lineRule="auto"/>
        <w:jc w:val="center"/>
        <w:outlineLvl w:val="0"/>
        <w:rPr>
          <w:rFonts w:ascii="宋体" w:hAnsi="宋体" w:cs="宋体"/>
          <w:b/>
          <w:bCs/>
          <w:color w:val="auto"/>
          <w:sz w:val="24"/>
          <w:highlight w:val="none"/>
        </w:rPr>
      </w:pPr>
    </w:p>
    <w:p>
      <w:pPr>
        <w:overflowPunct w:val="0"/>
        <w:adjustRightInd w:val="0"/>
        <w:snapToGrid w:val="0"/>
        <w:spacing w:line="440" w:lineRule="exact"/>
        <w:jc w:val="left"/>
        <w:rPr>
          <w:rFonts w:ascii="宋体" w:hAnsi="宋体" w:cs="宋体"/>
          <w:color w:val="auto"/>
          <w:sz w:val="24"/>
          <w:highlight w:val="none"/>
        </w:rPr>
      </w:pPr>
      <w:r>
        <w:rPr>
          <w:rFonts w:hint="eastAsia" w:ascii="宋体" w:hAnsi="宋体" w:cs="宋体"/>
          <w:bCs/>
          <w:color w:val="auto"/>
          <w:sz w:val="24"/>
          <w:highlight w:val="none"/>
        </w:rPr>
        <w:t>附2：</w:t>
      </w:r>
    </w:p>
    <w:p>
      <w:pPr>
        <w:spacing w:line="48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拒绝商业贿赂承诺书</w:t>
      </w:r>
    </w:p>
    <w:p>
      <w:pPr>
        <w:overflowPunct w:val="0"/>
        <w:spacing w:line="480" w:lineRule="auto"/>
        <w:ind w:firstLine="496" w:firstLineChars="200"/>
        <w:rPr>
          <w:rFonts w:ascii="宋体" w:hAnsi="宋体" w:cs="宋体"/>
          <w:b/>
          <w:bCs/>
          <w:color w:val="auto"/>
          <w:sz w:val="24"/>
          <w:highlight w:val="none"/>
        </w:rPr>
      </w:pPr>
      <w:r>
        <w:rPr>
          <w:rFonts w:hint="eastAsia" w:ascii="宋体" w:hAnsi="宋体" w:cs="宋体"/>
          <w:color w:val="auto"/>
          <w:spacing w:val="4"/>
          <w:sz w:val="24"/>
          <w:highlight w:val="none"/>
        </w:rPr>
        <w:t>为响应党中央、国务院关于治理政府采购领域商业贿赂行为的号召，我公司在此庄严承诺：</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1、在参与政府采购活动中遵纪守法、诚信经营、公平竞标。</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2、不向政府采购人、采购代理机构和政府采购评审专家进行任何形式的商业贿赂以谋取交易机会。</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3、不向政府采购代理机构和采购人提供虚假资质证明文件或采用虚假应标方式参与政府采购市场竞争并谋取中标、成交。</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4、不采取“围标、陪标”等商业欺诈手段获得政府采购订单。</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5、不采取不正当手段诋毁、排挤其他供应商。</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6、不在提供商品和服务时“偷梁换柱、以次充好”损害采购人的合法权益。</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7、不与采购人、采购代理机构、政府采购评审专家或其它供应商恶意串通，进行质疑和投诉，维护政府采购市场秩序。</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8、尊重和接受政府采购监督管理部门的监督和政府采购代理机构招标采购要求，承担因违约行为给采购人造成的损失。</w:t>
      </w:r>
      <w:r>
        <w:rPr>
          <w:rFonts w:hint="eastAsia" w:ascii="宋体" w:hAnsi="宋体" w:cs="宋体"/>
          <w:color w:val="auto"/>
          <w:spacing w:val="4"/>
          <w:sz w:val="24"/>
          <w:highlight w:val="none"/>
        </w:rPr>
        <w:br w:type="textWrapping"/>
      </w:r>
      <w:r>
        <w:rPr>
          <w:rFonts w:hint="eastAsia" w:ascii="宋体" w:hAnsi="宋体" w:cs="宋体"/>
          <w:color w:val="auto"/>
          <w:spacing w:val="4"/>
          <w:sz w:val="24"/>
          <w:highlight w:val="none"/>
        </w:rPr>
        <w:t>9、不发生其他有悖于政府采购公开、公平、公正和诚信原则的行为。</w:t>
      </w:r>
    </w:p>
    <w:p>
      <w:pPr>
        <w:overflowPunct w:val="0"/>
        <w:spacing w:line="360" w:lineRule="auto"/>
        <w:jc w:val="center"/>
        <w:outlineLvl w:val="0"/>
        <w:rPr>
          <w:rFonts w:ascii="宋体" w:hAnsi="宋体" w:cs="宋体"/>
          <w:b/>
          <w:bCs/>
          <w:color w:val="auto"/>
          <w:sz w:val="24"/>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pacing w:val="4"/>
          <w:sz w:val="24"/>
          <w:highlight w:val="none"/>
        </w:rPr>
      </w:pPr>
      <w:r>
        <w:rPr>
          <w:rFonts w:hint="eastAsia" w:ascii="宋体" w:hAnsi="宋体" w:cs="宋体"/>
          <w:color w:val="auto"/>
          <w:sz w:val="24"/>
          <w:highlight w:val="none"/>
        </w:rPr>
        <w:t>法定代表人或委托代理人（签字或盖章）：</w:t>
      </w:r>
      <w:r>
        <w:rPr>
          <w:rFonts w:hint="eastAsia" w:ascii="宋体" w:hAnsi="宋体" w:cs="宋体"/>
          <w:color w:val="auto"/>
          <w:spacing w:val="4"/>
          <w:sz w:val="24"/>
          <w:highlight w:val="none"/>
        </w:rPr>
        <w:t xml:space="preserve">            </w:t>
      </w:r>
    </w:p>
    <w:p>
      <w:pPr>
        <w:overflowPunct w:val="0"/>
        <w:spacing w:line="360" w:lineRule="auto"/>
        <w:ind w:left="1"/>
        <w:jc w:val="center"/>
        <w:rPr>
          <w:rFonts w:ascii="宋体" w:hAnsi="宋体" w:cs="宋体"/>
          <w:color w:val="auto"/>
          <w:spacing w:val="4"/>
          <w:sz w:val="24"/>
          <w:highlight w:val="none"/>
        </w:rPr>
      </w:pPr>
    </w:p>
    <w:p>
      <w:pPr>
        <w:overflowPunct w:val="0"/>
        <w:spacing w:line="360" w:lineRule="auto"/>
        <w:ind w:left="1"/>
        <w:jc w:val="center"/>
        <w:rPr>
          <w:rFonts w:ascii="宋体" w:hAnsi="宋体" w:cs="宋体"/>
          <w:color w:val="auto"/>
          <w:spacing w:val="4"/>
          <w:sz w:val="24"/>
          <w:highlight w:val="none"/>
        </w:rPr>
      </w:pPr>
      <w:r>
        <w:rPr>
          <w:rFonts w:hint="eastAsia" w:ascii="宋体" w:hAnsi="宋体" w:cs="宋体"/>
          <w:color w:val="auto"/>
          <w:spacing w:val="4"/>
          <w:sz w:val="24"/>
          <w:highlight w:val="none"/>
        </w:rPr>
        <w:t xml:space="preserve">                            日      期：   年     月    日</w:t>
      </w:r>
    </w:p>
    <w:p>
      <w:pPr>
        <w:overflowPunct w:val="0"/>
        <w:adjustRightInd w:val="0"/>
        <w:snapToGrid w:val="0"/>
        <w:spacing w:line="440" w:lineRule="exact"/>
        <w:jc w:val="left"/>
        <w:rPr>
          <w:rFonts w:ascii="宋体" w:hAnsi="宋体" w:cs="宋体"/>
          <w:bCs/>
          <w:color w:val="auto"/>
          <w:sz w:val="24"/>
          <w:highlight w:val="none"/>
        </w:rPr>
      </w:pPr>
      <w:r>
        <w:rPr>
          <w:rFonts w:hint="eastAsia" w:ascii="宋体" w:hAnsi="宋体" w:cs="宋体"/>
          <w:bCs/>
          <w:color w:val="auto"/>
          <w:sz w:val="24"/>
          <w:highlight w:val="none"/>
        </w:rPr>
        <w:t>附3：</w:t>
      </w:r>
    </w:p>
    <w:p>
      <w:pPr>
        <w:tabs>
          <w:tab w:val="left" w:pos="-180"/>
        </w:tabs>
        <w:ind w:right="178" w:rightChars="85"/>
        <w:jc w:val="center"/>
        <w:rPr>
          <w:rFonts w:ascii="宋体" w:hAnsi="宋体" w:cs="宋体"/>
          <w:b/>
          <w:color w:val="auto"/>
          <w:sz w:val="28"/>
          <w:highlight w:val="none"/>
        </w:rPr>
      </w:pPr>
      <w:r>
        <w:rPr>
          <w:rFonts w:hint="eastAsia" w:ascii="宋体" w:hAnsi="宋体" w:cs="宋体"/>
          <w:b/>
          <w:color w:val="auto"/>
          <w:sz w:val="28"/>
          <w:highlight w:val="none"/>
        </w:rPr>
        <w:t>诚信声明</w:t>
      </w:r>
    </w:p>
    <w:p>
      <w:pPr>
        <w:tabs>
          <w:tab w:val="left" w:pos="-180"/>
        </w:tabs>
        <w:ind w:right="178" w:rightChars="85"/>
        <w:rPr>
          <w:rFonts w:ascii="宋体" w:hAnsi="宋体" w:cs="宋体"/>
          <w:color w:val="auto"/>
          <w:szCs w:val="21"/>
          <w:highlight w:val="none"/>
        </w:rPr>
      </w:pPr>
    </w:p>
    <w:p>
      <w:pPr>
        <w:tabs>
          <w:tab w:val="left" w:pos="-180"/>
        </w:tabs>
        <w:ind w:right="178" w:rightChars="85"/>
        <w:rPr>
          <w:rFonts w:ascii="宋体" w:hAnsi="宋体" w:cs="宋体"/>
          <w:color w:val="auto"/>
          <w:sz w:val="24"/>
          <w:highlight w:val="none"/>
        </w:rPr>
      </w:pPr>
      <w:r>
        <w:rPr>
          <w:rFonts w:hint="eastAsia" w:ascii="宋体" w:hAnsi="宋体" w:cs="宋体"/>
          <w:color w:val="auto"/>
          <w:sz w:val="24"/>
          <w:highlight w:val="none"/>
        </w:rPr>
        <w:t>采购项目名称：</w:t>
      </w:r>
    </w:p>
    <w:p>
      <w:pPr>
        <w:tabs>
          <w:tab w:val="left" w:pos="-180"/>
        </w:tabs>
        <w:ind w:right="178" w:rightChars="85"/>
        <w:rPr>
          <w:rFonts w:ascii="宋体" w:hAnsi="宋体" w:cs="宋体"/>
          <w:color w:val="auto"/>
          <w:sz w:val="24"/>
          <w:highlight w:val="none"/>
        </w:rPr>
      </w:pPr>
    </w:p>
    <w:p>
      <w:pPr>
        <w:tabs>
          <w:tab w:val="left" w:pos="-180"/>
        </w:tabs>
        <w:ind w:right="178" w:rightChars="85"/>
        <w:rPr>
          <w:rFonts w:ascii="宋体" w:hAnsi="宋体" w:cs="宋体"/>
          <w:color w:val="auto"/>
          <w:sz w:val="24"/>
          <w:highlight w:val="none"/>
        </w:rPr>
      </w:pPr>
      <w:r>
        <w:rPr>
          <w:rFonts w:hint="eastAsia" w:ascii="宋体" w:hAnsi="宋体" w:cs="宋体"/>
          <w:color w:val="auto"/>
          <w:sz w:val="24"/>
          <w:highlight w:val="none"/>
        </w:rPr>
        <w:t>致：（采购代理机构）</w:t>
      </w:r>
    </w:p>
    <w:p>
      <w:pPr>
        <w:tabs>
          <w:tab w:val="left" w:pos="-180"/>
        </w:tabs>
        <w:ind w:right="178" w:rightChars="85"/>
        <w:rPr>
          <w:rFonts w:ascii="宋体" w:hAnsi="宋体" w:cs="宋体"/>
          <w:color w:val="auto"/>
          <w:sz w:val="24"/>
          <w:highlight w:val="none"/>
        </w:rPr>
      </w:pPr>
    </w:p>
    <w:p>
      <w:pPr>
        <w:tabs>
          <w:tab w:val="left" w:pos="-180"/>
        </w:tabs>
        <w:spacing w:line="480" w:lineRule="auto"/>
        <w:ind w:right="178" w:rightChars="85" w:firstLine="480" w:firstLineChars="200"/>
        <w:rPr>
          <w:rFonts w:ascii="宋体" w:hAnsi="宋体" w:cs="宋体"/>
          <w:color w:val="auto"/>
          <w:sz w:val="24"/>
          <w:highlight w:val="none"/>
        </w:rPr>
      </w:pPr>
      <w:r>
        <w:rPr>
          <w:rFonts w:hint="eastAsia" w:ascii="宋体" w:hAnsi="宋体" w:cs="宋体"/>
          <w:color w:val="auto"/>
          <w:sz w:val="24"/>
          <w:highlight w:val="none"/>
        </w:rPr>
        <w:t>（投标供应商名称）郑重声明，我单位具有良好的商业信誉和健全的财务会计制度，具有履行合同所必须的设备和专业技术能力，有依法缴纳税收和社会保障资金的良好记录，在合同签订前后随时愿意提供相关证明材料：符合《政府采购法》规定的投标供应商资格条件。我方对以上声明负全部法律责任。</w:t>
      </w:r>
    </w:p>
    <w:p>
      <w:pPr>
        <w:tabs>
          <w:tab w:val="left" w:pos="-180"/>
        </w:tabs>
        <w:spacing w:line="480" w:lineRule="auto"/>
        <w:ind w:right="178" w:rightChars="85"/>
        <w:rPr>
          <w:rFonts w:ascii="宋体" w:hAnsi="宋体" w:cs="宋体"/>
          <w:color w:val="auto"/>
          <w:sz w:val="24"/>
          <w:highlight w:val="none"/>
        </w:rPr>
      </w:pPr>
      <w:r>
        <w:rPr>
          <w:rFonts w:hint="eastAsia" w:ascii="宋体" w:hAnsi="宋体" w:cs="宋体"/>
          <w:color w:val="auto"/>
          <w:sz w:val="24"/>
          <w:highlight w:val="none"/>
        </w:rPr>
        <w:t>特此声明。</w:t>
      </w:r>
    </w:p>
    <w:p>
      <w:pPr>
        <w:tabs>
          <w:tab w:val="left" w:pos="-180"/>
        </w:tabs>
        <w:ind w:right="178" w:rightChars="85"/>
        <w:rPr>
          <w:rFonts w:ascii="宋体" w:hAnsi="宋体" w:cs="宋体"/>
          <w:color w:val="auto"/>
          <w:highlight w:val="none"/>
        </w:rPr>
      </w:pPr>
    </w:p>
    <w:p>
      <w:pPr>
        <w:tabs>
          <w:tab w:val="left" w:pos="-180"/>
        </w:tabs>
        <w:ind w:right="178" w:rightChars="85"/>
        <w:rPr>
          <w:rFonts w:ascii="宋体" w:hAnsi="宋体" w:cs="宋体"/>
          <w:color w:val="auto"/>
          <w:highlight w:val="none"/>
        </w:rPr>
      </w:pPr>
    </w:p>
    <w:p>
      <w:pPr>
        <w:tabs>
          <w:tab w:val="left" w:pos="-180"/>
        </w:tabs>
        <w:ind w:right="178" w:rightChars="85"/>
        <w:rPr>
          <w:rFonts w:ascii="宋体" w:hAnsi="宋体" w:cs="宋体"/>
          <w:color w:val="auto"/>
          <w:highlight w:val="none"/>
        </w:rPr>
      </w:pPr>
    </w:p>
    <w:p>
      <w:pPr>
        <w:tabs>
          <w:tab w:val="left" w:pos="-180"/>
        </w:tabs>
        <w:ind w:right="178" w:rightChars="85"/>
        <w:rPr>
          <w:rFonts w:ascii="宋体" w:hAnsi="宋体" w:cs="宋体"/>
          <w:color w:val="auto"/>
          <w:highlight w:val="none"/>
        </w:rPr>
      </w:pPr>
    </w:p>
    <w:p>
      <w:pPr>
        <w:tabs>
          <w:tab w:val="left" w:pos="-180"/>
        </w:tabs>
        <w:ind w:right="178" w:rightChars="85"/>
        <w:rPr>
          <w:rFonts w:ascii="宋体" w:hAnsi="宋体" w:cs="宋体"/>
          <w:color w:val="auto"/>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pacing w:val="4"/>
          <w:sz w:val="24"/>
          <w:highlight w:val="none"/>
        </w:rPr>
      </w:pPr>
      <w:r>
        <w:rPr>
          <w:rFonts w:hint="eastAsia" w:ascii="宋体" w:hAnsi="宋体" w:cs="宋体"/>
          <w:color w:val="auto"/>
          <w:sz w:val="24"/>
          <w:highlight w:val="none"/>
        </w:rPr>
        <w:t>法定代表人或委托代理人（签字或盖章）：</w:t>
      </w:r>
      <w:r>
        <w:rPr>
          <w:rFonts w:hint="eastAsia" w:ascii="宋体" w:hAnsi="宋体" w:cs="宋体"/>
          <w:color w:val="auto"/>
          <w:spacing w:val="4"/>
          <w:sz w:val="24"/>
          <w:highlight w:val="none"/>
        </w:rPr>
        <w:t xml:space="preserve">            </w:t>
      </w:r>
    </w:p>
    <w:p>
      <w:pPr>
        <w:overflowPunct w:val="0"/>
        <w:spacing w:line="360" w:lineRule="auto"/>
        <w:ind w:left="1"/>
        <w:jc w:val="center"/>
        <w:rPr>
          <w:rFonts w:ascii="宋体" w:hAnsi="宋体" w:cs="宋体"/>
          <w:color w:val="auto"/>
          <w:spacing w:val="4"/>
          <w:sz w:val="24"/>
          <w:highlight w:val="none"/>
        </w:rPr>
      </w:pPr>
    </w:p>
    <w:p>
      <w:pPr>
        <w:overflowPunct w:val="0"/>
        <w:spacing w:line="360" w:lineRule="auto"/>
        <w:ind w:left="1"/>
        <w:jc w:val="center"/>
        <w:rPr>
          <w:rFonts w:ascii="宋体" w:hAnsi="宋体" w:cs="宋体"/>
          <w:color w:val="auto"/>
          <w:spacing w:val="4"/>
          <w:sz w:val="24"/>
          <w:highlight w:val="none"/>
        </w:rPr>
      </w:pPr>
      <w:r>
        <w:rPr>
          <w:rFonts w:hint="eastAsia" w:ascii="宋体" w:hAnsi="宋体" w:cs="宋体"/>
          <w:color w:val="auto"/>
          <w:spacing w:val="4"/>
          <w:sz w:val="24"/>
          <w:highlight w:val="none"/>
        </w:rPr>
        <w:t xml:space="preserve">                            日      期：   年     月    日</w:t>
      </w:r>
    </w:p>
    <w:p>
      <w:pPr>
        <w:tabs>
          <w:tab w:val="left" w:pos="-180"/>
        </w:tabs>
        <w:ind w:right="178" w:rightChars="85"/>
        <w:rPr>
          <w:rFonts w:ascii="宋体" w:hAnsi="宋体" w:cs="宋体"/>
          <w:color w:val="auto"/>
          <w:highlight w:val="none"/>
        </w:rPr>
      </w:pP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spacing w:line="360" w:lineRule="auto"/>
        <w:rPr>
          <w:rFonts w:ascii="宋体" w:hAnsi="宋体" w:cs="宋体"/>
          <w:b/>
          <w:color w:val="auto"/>
          <w:sz w:val="44"/>
          <w:szCs w:val="44"/>
          <w:highlight w:val="none"/>
        </w:rPr>
      </w:pPr>
    </w:p>
    <w:p>
      <w:pPr>
        <w:pStyle w:val="11"/>
        <w:rPr>
          <w:color w:val="auto"/>
          <w:highlight w:val="none"/>
        </w:rPr>
      </w:pPr>
    </w:p>
    <w:p>
      <w:pPr>
        <w:rPr>
          <w:color w:val="auto"/>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附件4：</w:t>
      </w:r>
    </w:p>
    <w:p>
      <w:pPr>
        <w:tabs>
          <w:tab w:val="left" w:pos="-180"/>
        </w:tabs>
        <w:ind w:right="178" w:rightChars="85"/>
        <w:jc w:val="center"/>
        <w:rPr>
          <w:rFonts w:ascii="宋体" w:hAnsi="宋体" w:cs="宋体"/>
          <w:b/>
          <w:color w:val="auto"/>
          <w:sz w:val="28"/>
          <w:highlight w:val="none"/>
        </w:rPr>
      </w:pPr>
      <w:r>
        <w:rPr>
          <w:rFonts w:hint="eastAsia" w:ascii="宋体" w:hAnsi="宋体" w:cs="宋体"/>
          <w:b/>
          <w:color w:val="auto"/>
          <w:sz w:val="28"/>
          <w:highlight w:val="none"/>
        </w:rPr>
        <w:t>无不良信用记录承诺函(供应商自行查询适用)</w:t>
      </w:r>
    </w:p>
    <w:p>
      <w:pPr>
        <w:pStyle w:val="14"/>
        <w:spacing w:line="480" w:lineRule="auto"/>
        <w:rPr>
          <w:rFonts w:hAnsi="宋体"/>
          <w:color w:val="auto"/>
          <w:sz w:val="24"/>
          <w:szCs w:val="24"/>
          <w:highlight w:val="none"/>
        </w:rPr>
      </w:pPr>
      <w:r>
        <w:rPr>
          <w:rFonts w:hint="eastAsia" w:hAnsi="宋体"/>
          <w:color w:val="auto"/>
          <w:sz w:val="24"/>
          <w:szCs w:val="24"/>
          <w:highlight w:val="none"/>
        </w:rPr>
        <w:t>致</w:t>
      </w:r>
      <w:r>
        <w:rPr>
          <w:rFonts w:hAnsi="宋体"/>
          <w:color w:val="auto"/>
          <w:sz w:val="24"/>
          <w:szCs w:val="24"/>
          <w:highlight w:val="none"/>
        </w:rPr>
        <w:t>(</w:t>
      </w:r>
      <w:r>
        <w:rPr>
          <w:rFonts w:hint="eastAsia" w:hAnsi="宋体"/>
          <w:color w:val="auto"/>
          <w:sz w:val="24"/>
          <w:szCs w:val="24"/>
          <w:highlight w:val="none"/>
        </w:rPr>
        <w:t>采购代理机构</w:t>
      </w:r>
      <w:r>
        <w:rPr>
          <w:rFonts w:hAnsi="宋体"/>
          <w:color w:val="auto"/>
          <w:sz w:val="24"/>
          <w:szCs w:val="24"/>
          <w:highlight w:val="none"/>
        </w:rPr>
        <w:t>)</w:t>
      </w:r>
      <w:r>
        <w:rPr>
          <w:rFonts w:hint="eastAsia" w:hAnsi="宋体"/>
          <w:color w:val="auto"/>
          <w:sz w:val="24"/>
          <w:szCs w:val="24"/>
          <w:highlight w:val="none"/>
        </w:rPr>
        <w:t>：</w:t>
      </w:r>
    </w:p>
    <w:p>
      <w:pPr>
        <w:pStyle w:val="14"/>
        <w:spacing w:line="480" w:lineRule="auto"/>
        <w:ind w:firstLine="480" w:firstLineChars="200"/>
        <w:rPr>
          <w:rFonts w:hAnsi="宋体"/>
          <w:color w:val="auto"/>
          <w:sz w:val="24"/>
          <w:szCs w:val="24"/>
          <w:highlight w:val="none"/>
        </w:rPr>
      </w:pPr>
      <w:r>
        <w:rPr>
          <w:rFonts w:hint="eastAsia" w:hAnsi="宋体"/>
          <w:color w:val="auto"/>
          <w:sz w:val="24"/>
          <w:szCs w:val="24"/>
          <w:highlight w:val="none"/>
        </w:rPr>
        <w:t>本单位郑重承诺，我单位无以下不良信用记录情形：</w:t>
      </w:r>
    </w:p>
    <w:p>
      <w:pPr>
        <w:pStyle w:val="14"/>
        <w:spacing w:line="480" w:lineRule="auto"/>
        <w:ind w:firstLine="480" w:firstLineChars="200"/>
        <w:rPr>
          <w:rFonts w:hAnsi="宋体"/>
          <w:color w:val="auto"/>
          <w:sz w:val="24"/>
          <w:szCs w:val="24"/>
          <w:highlight w:val="none"/>
        </w:rPr>
      </w:pPr>
      <w:r>
        <w:rPr>
          <w:rFonts w:hAnsi="宋体"/>
          <w:color w:val="auto"/>
          <w:sz w:val="24"/>
          <w:szCs w:val="24"/>
          <w:highlight w:val="none"/>
        </w:rPr>
        <w:t>1.</w:t>
      </w:r>
      <w:r>
        <w:rPr>
          <w:rFonts w:hint="eastAsia" w:hAnsi="宋体"/>
          <w:color w:val="auto"/>
          <w:sz w:val="24"/>
          <w:szCs w:val="24"/>
          <w:highlight w:val="none"/>
        </w:rPr>
        <w:t>被人民法院列入失信被执行人；</w:t>
      </w:r>
    </w:p>
    <w:p>
      <w:pPr>
        <w:pStyle w:val="14"/>
        <w:spacing w:line="480" w:lineRule="auto"/>
        <w:ind w:firstLine="480" w:firstLineChars="200"/>
        <w:rPr>
          <w:rFonts w:hAnsi="宋体"/>
          <w:color w:val="auto"/>
          <w:sz w:val="24"/>
          <w:szCs w:val="24"/>
          <w:highlight w:val="none"/>
        </w:rPr>
      </w:pPr>
      <w:r>
        <w:rPr>
          <w:rFonts w:hAnsi="宋体"/>
          <w:color w:val="auto"/>
          <w:sz w:val="24"/>
          <w:szCs w:val="24"/>
          <w:highlight w:val="none"/>
        </w:rPr>
        <w:t>2.</w:t>
      </w:r>
      <w:r>
        <w:rPr>
          <w:rFonts w:hint="eastAsia" w:hAnsi="宋体"/>
          <w:color w:val="auto"/>
          <w:sz w:val="24"/>
          <w:szCs w:val="24"/>
          <w:highlight w:val="none"/>
        </w:rPr>
        <w:t>被税务部门列入重大税收违法案件当事人名单；</w:t>
      </w:r>
    </w:p>
    <w:p>
      <w:pPr>
        <w:pStyle w:val="14"/>
        <w:spacing w:line="480" w:lineRule="auto"/>
        <w:ind w:firstLine="480" w:firstLineChars="200"/>
        <w:rPr>
          <w:rFonts w:hAnsi="宋体"/>
          <w:color w:val="auto"/>
          <w:sz w:val="24"/>
          <w:szCs w:val="24"/>
          <w:highlight w:val="none"/>
        </w:rPr>
      </w:pPr>
      <w:r>
        <w:rPr>
          <w:rFonts w:hAnsi="宋体"/>
          <w:color w:val="auto"/>
          <w:sz w:val="24"/>
          <w:szCs w:val="24"/>
          <w:highlight w:val="none"/>
        </w:rPr>
        <w:t>3.</w:t>
      </w:r>
      <w:r>
        <w:rPr>
          <w:rFonts w:hint="eastAsia" w:hAnsi="宋体"/>
          <w:color w:val="auto"/>
          <w:sz w:val="24"/>
          <w:szCs w:val="24"/>
          <w:highlight w:val="none"/>
        </w:rPr>
        <w:t>被政府采购监管部门列入政府采购严重违法失信行为记录名单；</w:t>
      </w:r>
    </w:p>
    <w:p>
      <w:pPr>
        <w:pStyle w:val="14"/>
        <w:spacing w:line="480" w:lineRule="auto"/>
        <w:ind w:firstLine="480" w:firstLineChars="200"/>
        <w:rPr>
          <w:rFonts w:hAnsi="宋体"/>
          <w:color w:val="auto"/>
          <w:sz w:val="24"/>
          <w:szCs w:val="24"/>
          <w:highlight w:val="none"/>
        </w:rPr>
      </w:pPr>
      <w:r>
        <w:rPr>
          <w:rFonts w:hAnsi="宋体"/>
          <w:color w:val="auto"/>
          <w:sz w:val="24"/>
          <w:szCs w:val="24"/>
          <w:highlight w:val="none"/>
        </w:rPr>
        <w:t>4.</w:t>
      </w:r>
      <w:r>
        <w:rPr>
          <w:rFonts w:hint="eastAsia" w:hAnsi="宋体"/>
          <w:color w:val="auto"/>
          <w:sz w:val="24"/>
          <w:szCs w:val="24"/>
          <w:highlight w:val="none"/>
        </w:rPr>
        <w:t>不符合《政府采购法》第二十二条规定的条件。</w:t>
      </w:r>
    </w:p>
    <w:p>
      <w:pPr>
        <w:pStyle w:val="14"/>
        <w:spacing w:line="480" w:lineRule="auto"/>
        <w:ind w:firstLine="480" w:firstLineChars="200"/>
        <w:rPr>
          <w:rFonts w:hAnsi="宋体"/>
          <w:color w:val="auto"/>
          <w:sz w:val="24"/>
          <w:szCs w:val="24"/>
          <w:highlight w:val="none"/>
        </w:rPr>
      </w:pPr>
      <w:r>
        <w:rPr>
          <w:rFonts w:hint="eastAsia" w:hAnsi="宋体"/>
          <w:color w:val="auto"/>
          <w:sz w:val="24"/>
          <w:szCs w:val="24"/>
          <w:highlight w:val="none"/>
        </w:rPr>
        <w:t>我单位已就上述不良信用行为按照磋商文件中投标人须知前附表规定进行了查询。我单位承诺：合同签订前，若我单位具有不良信用记录情形，贵方可取消我单位中标资格或者不授予合同，所有责任由我单位自行承担。同时，我单位愿意无条件接受监管部门的调查处理。</w:t>
      </w:r>
    </w:p>
    <w:p>
      <w:pPr>
        <w:pStyle w:val="14"/>
        <w:spacing w:line="480" w:lineRule="auto"/>
        <w:ind w:firstLine="480" w:firstLineChars="200"/>
        <w:rPr>
          <w:rFonts w:hAnsi="宋体"/>
          <w:color w:val="auto"/>
          <w:sz w:val="24"/>
          <w:szCs w:val="24"/>
          <w:highlight w:val="none"/>
        </w:rPr>
      </w:pPr>
    </w:p>
    <w:p>
      <w:pPr>
        <w:ind w:firstLine="4320" w:firstLineChars="1800"/>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（盖章）  </w:t>
      </w:r>
    </w:p>
    <w:p>
      <w:pPr>
        <w:rPr>
          <w:rFonts w:ascii="宋体" w:hAnsi="宋体" w:cs="宋体"/>
          <w:color w:val="auto"/>
          <w:sz w:val="24"/>
          <w:highlight w:val="none"/>
        </w:rPr>
      </w:pPr>
    </w:p>
    <w:p>
      <w:pPr>
        <w:ind w:firstLine="4320" w:firstLineChars="1800"/>
        <w:rPr>
          <w:rFonts w:ascii="宋体" w:hAnsi="宋体" w:cs="宋体"/>
          <w:color w:val="auto"/>
          <w:spacing w:val="4"/>
          <w:sz w:val="24"/>
          <w:highlight w:val="none"/>
        </w:rPr>
      </w:pPr>
      <w:r>
        <w:rPr>
          <w:rFonts w:hint="eastAsia" w:ascii="宋体" w:hAnsi="宋体" w:cs="宋体"/>
          <w:color w:val="auto"/>
          <w:sz w:val="24"/>
          <w:highlight w:val="none"/>
        </w:rPr>
        <w:t>法定代表人或委托代理人（签字或盖章）：</w:t>
      </w:r>
      <w:r>
        <w:rPr>
          <w:rFonts w:hint="eastAsia" w:ascii="宋体" w:hAnsi="宋体" w:cs="宋体"/>
          <w:color w:val="auto"/>
          <w:spacing w:val="4"/>
          <w:sz w:val="24"/>
          <w:highlight w:val="none"/>
        </w:rPr>
        <w:t xml:space="preserve">            </w:t>
      </w:r>
    </w:p>
    <w:p>
      <w:pPr>
        <w:overflowPunct w:val="0"/>
        <w:spacing w:line="360" w:lineRule="auto"/>
        <w:ind w:left="1"/>
        <w:jc w:val="center"/>
        <w:rPr>
          <w:rFonts w:ascii="宋体" w:hAnsi="宋体" w:cs="宋体"/>
          <w:color w:val="auto"/>
          <w:spacing w:val="4"/>
          <w:sz w:val="24"/>
          <w:highlight w:val="none"/>
        </w:rPr>
      </w:pPr>
    </w:p>
    <w:p>
      <w:pPr>
        <w:overflowPunct w:val="0"/>
        <w:spacing w:line="360" w:lineRule="auto"/>
        <w:ind w:left="1"/>
        <w:jc w:val="center"/>
        <w:rPr>
          <w:rFonts w:ascii="宋体" w:hAnsi="宋体" w:cs="宋体"/>
          <w:color w:val="auto"/>
          <w:spacing w:val="4"/>
          <w:sz w:val="24"/>
          <w:highlight w:val="none"/>
        </w:rPr>
      </w:pPr>
      <w:r>
        <w:rPr>
          <w:rFonts w:hint="eastAsia" w:ascii="宋体" w:hAnsi="宋体" w:cs="宋体"/>
          <w:color w:val="auto"/>
          <w:spacing w:val="4"/>
          <w:sz w:val="24"/>
          <w:highlight w:val="none"/>
        </w:rPr>
        <w:t xml:space="preserve">                            日      期：   年     月    日</w:t>
      </w:r>
    </w:p>
    <w:p>
      <w:pPr>
        <w:pStyle w:val="4"/>
        <w:spacing w:line="480" w:lineRule="auto"/>
        <w:rPr>
          <w:color w:val="auto"/>
          <w:sz w:val="24"/>
          <w:szCs w:val="24"/>
          <w:highlight w:val="none"/>
        </w:rPr>
      </w:pPr>
    </w:p>
    <w:p>
      <w:pPr>
        <w:adjustRightInd w:val="0"/>
        <w:snapToGrid w:val="0"/>
        <w:spacing w:line="360" w:lineRule="auto"/>
        <w:ind w:right="600"/>
        <w:jc w:val="right"/>
        <w:rPr>
          <w:rFonts w:ascii="宋体" w:hAnsi="宋体" w:cs="宋体"/>
          <w:b/>
          <w:color w:val="auto"/>
          <w:sz w:val="18"/>
          <w:szCs w:val="18"/>
          <w:highlight w:val="none"/>
        </w:rPr>
      </w:pPr>
    </w:p>
    <w:p>
      <w:pPr>
        <w:adjustRightInd w:val="0"/>
        <w:snapToGrid w:val="0"/>
        <w:spacing w:line="360" w:lineRule="auto"/>
        <w:ind w:right="600"/>
        <w:jc w:val="right"/>
        <w:rPr>
          <w:rFonts w:ascii="宋体" w:hAnsi="宋体" w:cs="宋体"/>
          <w:b/>
          <w:color w:val="auto"/>
          <w:sz w:val="28"/>
          <w:szCs w:val="28"/>
          <w:highlight w:val="none"/>
        </w:rPr>
      </w:pPr>
    </w:p>
    <w:p>
      <w:pPr>
        <w:keepNext/>
        <w:keepLines/>
        <w:spacing w:line="480" w:lineRule="auto"/>
        <w:jc w:val="center"/>
        <w:rPr>
          <w:rFonts w:ascii="宋体" w:hAnsi="宋体" w:cs="宋体"/>
          <w:color w:val="auto"/>
          <w:szCs w:val="28"/>
          <w:highlight w:val="none"/>
        </w:rPr>
      </w:pPr>
      <w:r>
        <w:rPr>
          <w:rFonts w:hint="eastAsia" w:ascii="宋体" w:hAnsi="宋体" w:cs="宋体"/>
          <w:color w:val="auto"/>
          <w:szCs w:val="28"/>
          <w:highlight w:val="none"/>
        </w:rPr>
        <w:br w:type="page"/>
      </w:r>
      <w:bookmarkStart w:id="97" w:name="_Toc32003"/>
      <w:bookmarkStart w:id="98" w:name="_Toc15769"/>
      <w:r>
        <w:rPr>
          <w:rFonts w:hint="eastAsia" w:ascii="宋体" w:hAnsi="宋体" w:cs="宋体"/>
          <w:b/>
          <w:bCs/>
          <w:color w:val="auto"/>
          <w:sz w:val="30"/>
          <w:szCs w:val="30"/>
          <w:highlight w:val="none"/>
        </w:rPr>
        <w:t>九、其他资料</w:t>
      </w:r>
      <w:bookmarkEnd w:id="97"/>
      <w:bookmarkEnd w:id="98"/>
    </w:p>
    <w:p>
      <w:pPr>
        <w:jc w:val="center"/>
        <w:rPr>
          <w:rFonts w:ascii="宋体" w:hAnsi="宋体" w:cs="宋体"/>
          <w:color w:val="auto"/>
          <w:sz w:val="24"/>
          <w:highlight w:val="none"/>
        </w:rPr>
      </w:pPr>
      <w:bookmarkStart w:id="99" w:name="_Toc32597"/>
      <w:bookmarkStart w:id="100" w:name="_Toc31627"/>
      <w:r>
        <w:rPr>
          <w:rFonts w:hint="eastAsia" w:ascii="宋体" w:hAnsi="宋体" w:cs="宋体"/>
          <w:color w:val="auto"/>
          <w:sz w:val="24"/>
          <w:highlight w:val="none"/>
        </w:rPr>
        <w:t>（附有关本次采购的其他说明资料）</w:t>
      </w:r>
      <w:bookmarkEnd w:id="99"/>
      <w:bookmarkEnd w:id="100"/>
    </w:p>
    <w:p>
      <w:pPr>
        <w:pStyle w:val="13"/>
        <w:spacing w:before="120" w:line="420" w:lineRule="exact"/>
        <w:ind w:left="0" w:right="0" w:firstLine="723" w:firstLineChars="200"/>
        <w:rPr>
          <w:color w:val="auto"/>
          <w:sz w:val="22"/>
          <w:szCs w:val="22"/>
          <w:highlight w:val="none"/>
        </w:rPr>
      </w:pPr>
      <w:r>
        <w:rPr>
          <w:rFonts w:hint="eastAsia" w:ascii="宋体" w:hAnsi="宋体" w:cs="宋体"/>
          <w:b/>
          <w:bCs/>
          <w:color w:val="auto"/>
          <w:sz w:val="36"/>
          <w:szCs w:val="36"/>
          <w:highlight w:val="none"/>
        </w:rPr>
        <w:br w:type="page"/>
      </w:r>
    </w:p>
    <w:p>
      <w:pPr>
        <w:pStyle w:val="3"/>
        <w:rPr>
          <w:color w:val="auto"/>
          <w:highlight w:val="none"/>
        </w:rPr>
      </w:pPr>
      <w:bookmarkStart w:id="101" w:name="_Toc27286"/>
      <w:bookmarkStart w:id="102" w:name="_Toc24370"/>
      <w:r>
        <w:rPr>
          <w:rFonts w:hint="eastAsia"/>
          <w:color w:val="auto"/>
          <w:highlight w:val="none"/>
        </w:rPr>
        <w:t>第六部分 评审办法</w:t>
      </w:r>
      <w:bookmarkEnd w:id="70"/>
      <w:bookmarkEnd w:id="71"/>
      <w:bookmarkEnd w:id="72"/>
      <w:bookmarkEnd w:id="73"/>
      <w:bookmarkEnd w:id="101"/>
      <w:bookmarkEnd w:id="102"/>
    </w:p>
    <w:p>
      <w:pPr>
        <w:rPr>
          <w:rFonts w:ascii="宋体" w:hAnsi="宋体" w:cs="宋体"/>
          <w:b/>
          <w:bCs/>
          <w:color w:val="auto"/>
          <w:sz w:val="24"/>
          <w:highlight w:val="none"/>
        </w:rPr>
      </w:pPr>
      <w:bookmarkStart w:id="103" w:name="_Toc26333_WPSOffice_Level2"/>
      <w:bookmarkStart w:id="104" w:name="_Toc26628_WPSOffice_Level2"/>
      <w:bookmarkStart w:id="105" w:name="_Toc19907_WPSOffice_Level2"/>
      <w:r>
        <w:rPr>
          <w:rFonts w:hint="eastAsia" w:ascii="宋体" w:hAnsi="宋体" w:cs="宋体"/>
          <w:b/>
          <w:bCs/>
          <w:color w:val="auto"/>
          <w:sz w:val="24"/>
          <w:highlight w:val="none"/>
        </w:rPr>
        <w:t>1.磋商方法</w:t>
      </w:r>
      <w:bookmarkEnd w:id="103"/>
      <w:bookmarkEnd w:id="104"/>
      <w:bookmarkEnd w:id="105"/>
    </w:p>
    <w:p>
      <w:pPr>
        <w:spacing w:line="360" w:lineRule="auto"/>
        <w:ind w:firstLine="480" w:firstLineChars="200"/>
        <w:rPr>
          <w:rFonts w:ascii="宋体" w:hAnsi="宋体" w:cs="宋体"/>
          <w:b/>
          <w:bCs/>
          <w:color w:val="auto"/>
          <w:sz w:val="24"/>
          <w:highlight w:val="none"/>
        </w:rPr>
      </w:pPr>
      <w:bookmarkStart w:id="106" w:name="_Toc18710_WPSOffice_Level2"/>
      <w:bookmarkStart w:id="107" w:name="_Toc1671_WPSOffice_Level2"/>
      <w:bookmarkStart w:id="108" w:name="_Toc943_WPSOffice_Level2"/>
      <w:r>
        <w:rPr>
          <w:rFonts w:hint="eastAsia" w:ascii="宋体" w:hAnsi="宋体" w:cs="宋体"/>
          <w:color w:val="auto"/>
          <w:sz w:val="24"/>
          <w:highlight w:val="none"/>
        </w:rPr>
        <w:t>1.1磋商方法：按照《中华人民共和国政府采购法》、中华人民共和国2015年第658号国务院令--《中华人民共和国政府采购法实施条例》和中华人民共和国财政部</w:t>
      </w:r>
      <w:r>
        <w:rPr>
          <w:rFonts w:hint="eastAsia" w:ascii="宋体" w:hAnsi="宋体" w:cs="宋体"/>
          <w:color w:val="auto"/>
          <w:kern w:val="0"/>
          <w:sz w:val="24"/>
          <w:highlight w:val="none"/>
        </w:rPr>
        <w:t>财库〔2014〕214号文件《政府采购竞争性磋商采购方式管理暂行办法》的规定</w:t>
      </w:r>
      <w:r>
        <w:rPr>
          <w:rFonts w:hint="eastAsia" w:ascii="宋体" w:hAnsi="宋体" w:cs="宋体"/>
          <w:color w:val="auto"/>
          <w:sz w:val="24"/>
          <w:highlight w:val="none"/>
        </w:rPr>
        <w:t>，竞争性磋商小组采用综合评分法对提交最后报价的供应商的响应文件和最后报价进行综合评分，按照评审得分由高到低顺序推荐3名成交候选供应商。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pPr>
        <w:rPr>
          <w:rFonts w:ascii="宋体" w:hAnsi="宋体" w:cs="宋体"/>
          <w:b/>
          <w:bCs/>
          <w:color w:val="auto"/>
          <w:sz w:val="24"/>
          <w:highlight w:val="none"/>
        </w:rPr>
      </w:pPr>
      <w:r>
        <w:rPr>
          <w:rFonts w:hint="eastAsia" w:ascii="宋体" w:hAnsi="宋体" w:cs="宋体"/>
          <w:b/>
          <w:bCs/>
          <w:color w:val="auto"/>
          <w:sz w:val="24"/>
          <w:highlight w:val="none"/>
        </w:rPr>
        <w:t>2.磋商</w:t>
      </w:r>
      <w:bookmarkEnd w:id="106"/>
      <w:bookmarkEnd w:id="107"/>
      <w:bookmarkEnd w:id="108"/>
    </w:p>
    <w:p>
      <w:pPr>
        <w:ind w:firstLine="480" w:firstLineChars="200"/>
        <w:rPr>
          <w:rFonts w:ascii="宋体" w:hAnsi="宋体" w:cs="宋体"/>
          <w:color w:val="auto"/>
          <w:sz w:val="24"/>
          <w:highlight w:val="none"/>
        </w:rPr>
      </w:pPr>
      <w:r>
        <w:rPr>
          <w:rFonts w:hint="eastAsia" w:ascii="宋体" w:hAnsi="宋体" w:cs="宋体"/>
          <w:color w:val="auto"/>
          <w:sz w:val="24"/>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2.2.1要严格遵守政府采购相关法律制度，依法履行各自职责，公正、客观、审慎地组织和参与评审工作；</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2.2.2对磋商响应文件进行资格性、符合性检查，并做出评价；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2.2.3按竞争性磋商采购邀请书规定的评审方法和标准，进行比较和评价；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2.2.4要求磋商供应商对磋商响应文件有关事项作出解释或澄清；</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2.2.5要依法独立评审，按照竞争性磋商采购邀请书的要求和评标标准进行评标，推荐成交候选供应商名单，对评审意见承担个人责任；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2.2.6对需要共同认定的事项存在争议的，按照少数服从多数原则做出结论。持不同意见的磋商小组成员应当在评审报告上签署不同意见并说明理由，否则视为同意；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2.2.7对评审情况以及在评审过程中获悉的国家秘密、商业秘密负有保密责任；</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2.2.8配合财政部门的投诉处理工作；</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2.2.9配合采购人、采购代理机构答复磋商供应商提出的质疑。</w:t>
      </w:r>
    </w:p>
    <w:p>
      <w:pPr>
        <w:rPr>
          <w:rFonts w:ascii="宋体" w:hAnsi="宋体" w:cs="宋体"/>
          <w:b/>
          <w:bCs/>
          <w:color w:val="auto"/>
          <w:sz w:val="24"/>
          <w:highlight w:val="none"/>
        </w:rPr>
      </w:pPr>
      <w:bookmarkStart w:id="109" w:name="_Toc5863_WPSOffice_Level2"/>
      <w:bookmarkStart w:id="110" w:name="_Toc16944_WPSOffice_Level2"/>
      <w:bookmarkStart w:id="111" w:name="_Toc31344_WPSOffice_Level2"/>
      <w:r>
        <w:rPr>
          <w:rFonts w:hint="eastAsia" w:ascii="宋体" w:hAnsi="宋体" w:cs="宋体"/>
          <w:b/>
          <w:bCs/>
          <w:color w:val="auto"/>
          <w:sz w:val="24"/>
          <w:highlight w:val="none"/>
        </w:rPr>
        <w:t>3.磋商响应文件的初审</w:t>
      </w:r>
      <w:bookmarkEnd w:id="109"/>
      <w:bookmarkEnd w:id="110"/>
      <w:bookmarkEnd w:id="111"/>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审查分为资格性检查和符合性检查。分别按照以下内容对响应文件进行检查，一项不合格即按照无效磋商处理。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响应文件审查合格的为实质性响应磋商文件要求的供应商。</w:t>
      </w:r>
    </w:p>
    <w:p>
      <w:pPr>
        <w:rPr>
          <w:rFonts w:ascii="宋体" w:hAnsi="宋体" w:cs="宋体"/>
          <w:b/>
          <w:bCs/>
          <w:color w:val="auto"/>
          <w:sz w:val="24"/>
          <w:highlight w:val="none"/>
        </w:rPr>
      </w:pPr>
      <w:r>
        <w:rPr>
          <w:rFonts w:hint="eastAsia" w:ascii="宋体" w:hAnsi="宋体" w:cs="宋体"/>
          <w:b/>
          <w:bCs/>
          <w:color w:val="auto"/>
          <w:sz w:val="24"/>
          <w:highlight w:val="none"/>
        </w:rPr>
        <w:t>3.1资格性检查（由磋商小组审查）</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1、具有独立承担民事责任能力的法人、其他组织或自然人，提供合法有效的统一社会信用代码营业执照（事业单位提供事业单位法人证书，自然人提供身份证明）；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2、法定代表人直接参加磋商的，须出具法人身份证；法定代表人授权代表参加磋商的，须出具法定代表人授权书及授权代表身份证；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3、磋商保证金缴纳凭证或担保机构出具的保函；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4、财务状况报告：提供具有财务审计资质单位出具的上一年度财务报告或开标前六个月内其基本账户银行出具的资信证明；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5、社会保障资金缴纳证明：提供磋商前六个月内已缴存的任意时段的社会保障资金缴存单据或社保机构开具的社会保险参保缴费情况证明；依法不需要缴纳社会保障资金的应提供相关文件证明；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6、税收缴纳证明：提供磋商前六个月内已缴纳任意时段完税凭证或税务机关开具的完税证明（任意税种）；依法免税的应提供相关文件证明；</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7、供应商提供有效期内的《印刷经营许可证》； </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8、参加本次政府采购活动前三年内在经营活动中没有重大违法记录的书面声明；</w:t>
      </w:r>
    </w:p>
    <w:p>
      <w:pPr>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9、供应商不得为“信用中国”网站（www.creditchina.gov.cn）及“中国政府采购网”（www.ccgp.gov.cn/）列入失信被执行人、重大税收违法案件当事人名单、政府采购严重失信行为记录名单（提供信用中国网站下载的信用信息及政府采购严重失信行为记录名单截图）；</w:t>
      </w:r>
    </w:p>
    <w:p>
      <w:pPr>
        <w:ind w:left="210" w:leftChars="100" w:firstLine="480" w:firstLineChars="200"/>
        <w:rPr>
          <w:color w:val="auto"/>
          <w:sz w:val="24"/>
          <w:highlight w:val="none"/>
        </w:rPr>
      </w:pPr>
      <w:r>
        <w:rPr>
          <w:rFonts w:hint="eastAsia" w:ascii="宋体" w:hAnsi="宋体" w:cs="宋体"/>
          <w:color w:val="auto"/>
          <w:sz w:val="24"/>
          <w:highlight w:val="none"/>
        </w:rPr>
        <w:t>10、本项目不接受联合体</w:t>
      </w:r>
      <w:r>
        <w:rPr>
          <w:rFonts w:hint="eastAsia"/>
          <w:color w:val="auto"/>
          <w:sz w:val="24"/>
          <w:highlight w:val="none"/>
        </w:rPr>
        <w:t>。</w:t>
      </w:r>
    </w:p>
    <w:p>
      <w:pPr>
        <w:ind w:left="210" w:leftChars="100"/>
        <w:rPr>
          <w:b/>
          <w:bCs/>
          <w:color w:val="auto"/>
          <w:sz w:val="24"/>
          <w:highlight w:val="none"/>
        </w:rPr>
      </w:pPr>
      <w:r>
        <w:rPr>
          <w:rFonts w:hint="eastAsia"/>
          <w:b/>
          <w:bCs/>
          <w:color w:val="auto"/>
          <w:sz w:val="24"/>
          <w:highlight w:val="none"/>
        </w:rPr>
        <w:t>备注：</w:t>
      </w:r>
    </w:p>
    <w:p>
      <w:pPr>
        <w:ind w:left="210" w:leftChars="100"/>
        <w:rPr>
          <w:b/>
          <w:bCs/>
          <w:color w:val="auto"/>
          <w:sz w:val="24"/>
          <w:highlight w:val="none"/>
        </w:rPr>
      </w:pPr>
      <w:r>
        <w:rPr>
          <w:rFonts w:hint="eastAsia"/>
          <w:b/>
          <w:bCs/>
          <w:color w:val="auto"/>
          <w:sz w:val="24"/>
          <w:highlight w:val="none"/>
        </w:rPr>
        <w:t>1、除注明原件外，均为复印件加盖供应商公章并附在响应文件中。</w:t>
      </w:r>
    </w:p>
    <w:p>
      <w:pPr>
        <w:ind w:left="210" w:leftChars="100"/>
        <w:rPr>
          <w:b/>
          <w:bCs/>
          <w:color w:val="auto"/>
          <w:sz w:val="24"/>
          <w:highlight w:val="none"/>
        </w:rPr>
      </w:pPr>
      <w:r>
        <w:rPr>
          <w:rFonts w:hint="eastAsia"/>
          <w:b/>
          <w:bCs/>
          <w:color w:val="auto"/>
          <w:sz w:val="24"/>
          <w:highlight w:val="none"/>
        </w:rPr>
        <w:t>2、上述资格证明文件为必备资格，缺项或者符合性、有效性、合法性审核不合格的，按无效文件处理。</w:t>
      </w:r>
    </w:p>
    <w:p>
      <w:pPr>
        <w:ind w:left="210" w:leftChars="100"/>
        <w:rPr>
          <w:color w:val="auto"/>
          <w:highlight w:val="none"/>
        </w:rPr>
      </w:pPr>
      <w:r>
        <w:rPr>
          <w:rFonts w:hint="eastAsia"/>
          <w:b/>
          <w:bCs/>
          <w:color w:val="auto"/>
          <w:sz w:val="24"/>
          <w:highlight w:val="none"/>
        </w:rPr>
        <w:t>3、未注明要求原件的资格证明文件，在磋商后的任何时间，磋商小组有权随时要求审查原件，如果磋商人不能按规定时间提供原件，按无效磋商处理。</w:t>
      </w:r>
      <w:r>
        <w:rPr>
          <w:rFonts w:hint="eastAsia"/>
          <w:color w:val="auto"/>
          <w:highlight w:val="none"/>
        </w:rPr>
        <w:t>　　　　</w:t>
      </w:r>
    </w:p>
    <w:p>
      <w:pPr>
        <w:rPr>
          <w:rFonts w:ascii="宋体" w:hAnsi="宋体" w:cs="宋体"/>
          <w:b/>
          <w:bCs/>
          <w:color w:val="auto"/>
          <w:sz w:val="24"/>
          <w:highlight w:val="none"/>
        </w:rPr>
      </w:pPr>
      <w:r>
        <w:rPr>
          <w:rFonts w:hint="eastAsia" w:ascii="宋体" w:hAnsi="宋体" w:cs="宋体"/>
          <w:b/>
          <w:bCs/>
          <w:color w:val="auto"/>
          <w:sz w:val="24"/>
          <w:highlight w:val="none"/>
        </w:rPr>
        <w:t>3.2符合性审查</w:t>
      </w:r>
    </w:p>
    <w:p>
      <w:pPr>
        <w:rPr>
          <w:rFonts w:ascii="宋体" w:hAnsi="宋体" w:cs="宋体"/>
          <w:color w:val="auto"/>
          <w:sz w:val="24"/>
          <w:highlight w:val="none"/>
        </w:rPr>
      </w:pPr>
      <w:r>
        <w:rPr>
          <w:rFonts w:hint="eastAsia" w:ascii="宋体" w:hAnsi="宋体" w:cs="宋体"/>
          <w:color w:val="auto"/>
          <w:sz w:val="24"/>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4"/>
        <w:tblW w:w="9064" w:type="dxa"/>
        <w:tblInd w:w="108" w:type="dxa"/>
        <w:tblLayout w:type="fixed"/>
        <w:tblCellMar>
          <w:top w:w="0" w:type="dxa"/>
          <w:left w:w="10" w:type="dxa"/>
          <w:bottom w:w="0" w:type="dxa"/>
          <w:right w:w="10" w:type="dxa"/>
        </w:tblCellMar>
      </w:tblPr>
      <w:tblGrid>
        <w:gridCol w:w="681"/>
        <w:gridCol w:w="2929"/>
        <w:gridCol w:w="5454"/>
      </w:tblGrid>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评审标准</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供应商名称和公章、营业执照一致</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rPr>
                <w:rFonts w:ascii="宋体" w:hAnsi="宋体" w:cs="宋体"/>
                <w:color w:val="auto"/>
                <w:sz w:val="24"/>
                <w:highlight w:val="none"/>
              </w:rPr>
            </w:pPr>
            <w:r>
              <w:rPr>
                <w:rFonts w:hint="eastAsia" w:ascii="宋体" w:hAnsi="宋体" w:cs="宋体"/>
                <w:color w:val="auto"/>
                <w:sz w:val="24"/>
                <w:highlight w:val="none"/>
              </w:rPr>
              <w:t>完整无缺项，未超过采购预算，无选择性报价</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磋商文件的有效期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rPr>
                <w:rFonts w:ascii="宋体" w:hAnsi="宋体" w:cs="宋体"/>
                <w:color w:val="auto"/>
                <w:sz w:val="24"/>
                <w:highlight w:val="none"/>
              </w:rPr>
            </w:pPr>
            <w:r>
              <w:rPr>
                <w:rFonts w:hint="eastAsia" w:ascii="宋体" w:hAnsi="宋体" w:cs="宋体"/>
                <w:color w:val="auto"/>
                <w:sz w:val="24"/>
                <w:highlight w:val="none"/>
              </w:rPr>
              <w:t>自磋商之日起不少于90个日历日</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rPr>
                <w:rFonts w:ascii="宋体" w:hAnsi="宋体" w:cs="宋体"/>
                <w:color w:val="auto"/>
                <w:sz w:val="24"/>
                <w:highlight w:val="none"/>
              </w:rPr>
            </w:pPr>
            <w:r>
              <w:rPr>
                <w:rFonts w:hint="eastAsia" w:ascii="宋体" w:hAnsi="宋体" w:cs="宋体"/>
                <w:color w:val="auto"/>
                <w:sz w:val="24"/>
                <w:highlight w:val="none"/>
              </w:rPr>
              <w:t>响应文件的签字盖章合格有效；</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供货期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rPr>
                <w:rFonts w:ascii="宋体" w:hAnsi="宋体" w:cs="宋体"/>
                <w:color w:val="auto"/>
                <w:sz w:val="24"/>
                <w:highlight w:val="none"/>
              </w:rPr>
            </w:pPr>
            <w:r>
              <w:rPr>
                <w:rFonts w:hint="eastAsia" w:ascii="宋体" w:hAnsi="宋体" w:cs="宋体"/>
                <w:color w:val="auto"/>
                <w:sz w:val="24"/>
                <w:highlight w:val="none"/>
              </w:rPr>
              <w:t>满足磋商文件要求</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响应文件完整性</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rPr>
                <w:rFonts w:ascii="宋体" w:hAnsi="宋体" w:cs="宋体"/>
                <w:color w:val="auto"/>
                <w:sz w:val="24"/>
                <w:highlight w:val="none"/>
              </w:rPr>
            </w:pPr>
            <w:r>
              <w:rPr>
                <w:rFonts w:hint="eastAsia" w:ascii="宋体" w:hAnsi="宋体" w:cs="宋体"/>
                <w:color w:val="auto"/>
                <w:sz w:val="24"/>
                <w:highlight w:val="none"/>
              </w:rPr>
              <w:t>响应文件构成无缺项，按照磋商文件要求的编写响应文件</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color w:val="auto"/>
                <w:sz w:val="24"/>
                <w:highlight w:val="none"/>
              </w:rPr>
              <w:t>磋商内容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与采购内容一致</w:t>
            </w:r>
          </w:p>
        </w:tc>
      </w:tr>
      <w:tr>
        <w:tblPrEx>
          <w:tblCellMar>
            <w:top w:w="0" w:type="dxa"/>
            <w:left w:w="10" w:type="dxa"/>
            <w:bottom w:w="0" w:type="dxa"/>
            <w:right w:w="10" w:type="dxa"/>
          </w:tblCellMar>
        </w:tblPrEx>
        <w:trPr>
          <w:trHeight w:val="56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440" w:lineRule="exact"/>
              <w:jc w:val="center"/>
              <w:rPr>
                <w:rFonts w:ascii="宋体" w:hAnsi="宋体" w:cs="宋体"/>
                <w:color w:val="auto"/>
                <w:sz w:val="24"/>
                <w:highlight w:val="none"/>
              </w:rPr>
            </w:pPr>
            <w:r>
              <w:rPr>
                <w:rFonts w:hint="eastAsia" w:ascii="宋体" w:hAnsi="宋体" w:cs="宋体"/>
                <w:color w:val="auto"/>
                <w:sz w:val="24"/>
                <w:highlight w:val="none"/>
              </w:rPr>
              <w:t>样品递交</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按照磋商文件要求进行样品递交</w:t>
            </w:r>
          </w:p>
        </w:tc>
      </w:tr>
    </w:tbl>
    <w:p>
      <w:pPr>
        <w:ind w:firstLine="240" w:firstLineChars="100"/>
        <w:rPr>
          <w:rFonts w:ascii="宋体" w:hAnsi="宋体" w:cs="宋体"/>
          <w:color w:val="auto"/>
          <w:sz w:val="24"/>
          <w:highlight w:val="none"/>
        </w:rPr>
      </w:pPr>
      <w:r>
        <w:rPr>
          <w:rFonts w:hint="eastAsia" w:ascii="宋体" w:hAnsi="宋体" w:cs="宋体"/>
          <w:color w:val="auto"/>
          <w:sz w:val="24"/>
          <w:highlight w:val="none"/>
        </w:rPr>
        <w:t>说明：以上各项有1项不合格，评审不予通过，作为未实质性响应磋商文件。在资格性、符合性检查时，审查未通过的，不得进入后续评审环节。</w:t>
      </w:r>
    </w:p>
    <w:p>
      <w:pPr>
        <w:ind w:firstLine="482" w:firstLineChars="200"/>
        <w:rPr>
          <w:rFonts w:ascii="宋体" w:hAnsi="宋体" w:cs="宋体"/>
          <w:color w:val="auto"/>
          <w:sz w:val="24"/>
          <w:highlight w:val="none"/>
        </w:rPr>
      </w:pPr>
      <w:r>
        <w:rPr>
          <w:rFonts w:hint="eastAsia" w:ascii="宋体" w:hAnsi="宋体" w:cs="宋体"/>
          <w:b/>
          <w:bCs/>
          <w:color w:val="auto"/>
          <w:sz w:val="24"/>
          <w:highlight w:val="none"/>
        </w:rPr>
        <w:t>3.2.2有下列情形之一的，视为供应商串通投标，磋商小组应当认定其响应文件无效：</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（1）不同供应商的响应文件由同一单位或者个人编制；</w:t>
      </w:r>
    </w:p>
    <w:p>
      <w:pPr>
        <w:rPr>
          <w:rFonts w:ascii="宋体" w:hAnsi="宋体" w:cs="宋体"/>
          <w:color w:val="auto"/>
          <w:sz w:val="24"/>
          <w:highlight w:val="none"/>
        </w:rPr>
      </w:pPr>
      <w:r>
        <w:rPr>
          <w:rFonts w:hint="eastAsia" w:ascii="宋体" w:hAnsi="宋体" w:cs="宋体"/>
          <w:color w:val="auto"/>
          <w:sz w:val="24"/>
          <w:highlight w:val="none"/>
        </w:rPr>
        <w:t xml:space="preserve">不同供应商委托同一单位或者个人办理磋商事宜； </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（2）不同供应商的响应文件载明的项目管理成员或者联系人员为同一人；</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（3）不同供应商的响应文件异常一致或者磋商报价呈规律性差异；</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（4）不同供应商的响应文件相互混装；</w:t>
      </w:r>
    </w:p>
    <w:p>
      <w:pPr>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（5）不同供应商的磋商保证金从同一单位或者个人的账户转出。</w:t>
      </w:r>
    </w:p>
    <w:p>
      <w:pPr>
        <w:spacing w:line="420" w:lineRule="exact"/>
        <w:rPr>
          <w:rFonts w:ascii="宋体" w:hAnsi="宋体" w:cs="宋体"/>
          <w:b/>
          <w:bCs/>
          <w:color w:val="auto"/>
          <w:kern w:val="0"/>
          <w:sz w:val="24"/>
          <w:szCs w:val="24"/>
          <w:highlight w:val="none"/>
        </w:rPr>
      </w:pPr>
      <w:r>
        <w:rPr>
          <w:rFonts w:hint="eastAsia" w:ascii="宋体" w:hAnsi="宋体" w:cs="宋体"/>
          <w:color w:val="auto"/>
          <w:sz w:val="24"/>
          <w:szCs w:val="24"/>
          <w:highlight w:val="none"/>
          <w:lang w:val="en-US" w:eastAsia="zh-CN"/>
        </w:rPr>
        <w:t>3.2.3</w:t>
      </w:r>
      <w:r>
        <w:rPr>
          <w:rFonts w:hint="eastAsia" w:ascii="宋体" w:hAnsi="宋体" w:cs="宋体"/>
          <w:b/>
          <w:bCs/>
          <w:color w:val="auto"/>
          <w:sz w:val="24"/>
          <w:szCs w:val="24"/>
          <w:highlight w:val="none"/>
        </w:rPr>
        <w:t>出现下列情况之一者（但不限于），</w:t>
      </w:r>
      <w:r>
        <w:rPr>
          <w:rFonts w:hint="eastAsia" w:ascii="宋体" w:hAnsi="宋体" w:cs="宋体"/>
          <w:b/>
          <w:bCs/>
          <w:color w:val="auto"/>
          <w:sz w:val="24"/>
          <w:szCs w:val="24"/>
          <w:highlight w:val="none"/>
          <w:lang w:val="en-US" w:eastAsia="zh-CN"/>
        </w:rPr>
        <w:t>磋商小组</w:t>
      </w:r>
      <w:r>
        <w:rPr>
          <w:rFonts w:hint="eastAsia" w:ascii="宋体" w:hAnsi="宋体" w:cs="宋体"/>
          <w:b/>
          <w:bCs/>
          <w:color w:val="auto"/>
          <w:sz w:val="24"/>
          <w:szCs w:val="24"/>
          <w:highlight w:val="none"/>
        </w:rPr>
        <w:t>应按无效</w:t>
      </w:r>
      <w:r>
        <w:rPr>
          <w:rFonts w:hint="eastAsia" w:ascii="宋体" w:hAnsi="宋体" w:cs="宋体"/>
          <w:b/>
          <w:bCs/>
          <w:color w:val="auto"/>
          <w:sz w:val="24"/>
          <w:szCs w:val="24"/>
          <w:highlight w:val="none"/>
          <w:lang w:val="en-US" w:eastAsia="zh-CN"/>
        </w:rPr>
        <w:t>响应</w:t>
      </w:r>
      <w:r>
        <w:rPr>
          <w:rFonts w:hint="eastAsia" w:ascii="宋体" w:hAnsi="宋体" w:cs="宋体"/>
          <w:b/>
          <w:bCs/>
          <w:color w:val="auto"/>
          <w:sz w:val="24"/>
          <w:szCs w:val="24"/>
          <w:highlight w:val="none"/>
        </w:rPr>
        <w:t>文件处理：</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的投标报价超过采购预算的；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未经过正常渠道购买</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名称与购买</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时登记的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名称不符的；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不具备资格条件的；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实质性内容不满足或未响应的（包括但不限于：服务期、付款方式、主要技术指标等）；</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的有效性和符合性不符合要求的；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文件要求的格式、数量和方式胶装、封装、签字、加盖公章的；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有涂改，涂改处未按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要求签字的；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无</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有效期或有效期不符合</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针对同一项目递交两份或多份内容不同的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，未书面声明哪一份是有效的或出现选择性报价的；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提供虚假资质、虚假证明（包括第三方提供的虚假证明）、出现虚假应答的，除按无效</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处理外，还将按照政府采购的有关规定进行处罚；</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附加了采购人难以接受的条件或条款的；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前期参与了本次项目方案设计的；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在政府采购或其它重大项目履约过程中有不良记录，未能按期履约的；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报价与市场价格偏离较大、低于成本、</w:t>
      </w:r>
      <w:r>
        <w:rPr>
          <w:rFonts w:hint="eastAsia" w:ascii="宋体" w:hAnsi="宋体" w:cs="宋体"/>
          <w:color w:val="auto"/>
          <w:sz w:val="24"/>
          <w:szCs w:val="24"/>
          <w:highlight w:val="none"/>
          <w:lang w:val="en-US" w:eastAsia="zh-CN"/>
        </w:rPr>
        <w:t>磋商小组</w:t>
      </w:r>
      <w:r>
        <w:rPr>
          <w:rFonts w:hint="eastAsia" w:ascii="宋体" w:hAnsi="宋体" w:cs="宋体"/>
          <w:color w:val="auto"/>
          <w:sz w:val="24"/>
          <w:szCs w:val="24"/>
          <w:highlight w:val="none"/>
        </w:rPr>
        <w:t>认为形成不正当竞争的，且在规定时间内无法提供有效书面证明；</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报价子目出现漏项或报价数量与</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要求不符的；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项目的技术参数与</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要求出现重大负偏差的或技术指标有漏项的；</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rPr>
        <w:t>提供虚假技术参数；</w:t>
      </w:r>
    </w:p>
    <w:p>
      <w:pPr>
        <w:numPr>
          <w:ilvl w:val="0"/>
          <w:numId w:val="7"/>
        </w:numPr>
        <w:spacing w:line="420" w:lineRule="exact"/>
        <w:ind w:left="845" w:leftChars="0" w:hanging="425"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要求提交</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保证金的；</w:t>
      </w:r>
    </w:p>
    <w:p>
      <w:pPr>
        <w:numPr>
          <w:ilvl w:val="0"/>
          <w:numId w:val="7"/>
        </w:numPr>
        <w:spacing w:line="420" w:lineRule="exact"/>
        <w:ind w:left="845" w:leftChars="0" w:hanging="425" w:firstLineChars="0"/>
        <w:rPr>
          <w:rFonts w:hint="default" w:eastAsia="宋体"/>
          <w:color w:val="auto"/>
          <w:highlight w:val="none"/>
          <w:lang w:val="en-US" w:eastAsia="zh-CN"/>
        </w:rPr>
      </w:pPr>
      <w:r>
        <w:rPr>
          <w:rFonts w:hint="eastAsia" w:ascii="宋体" w:hAnsi="宋体" w:cs="宋体"/>
          <w:color w:val="auto"/>
          <w:sz w:val="24"/>
          <w:szCs w:val="24"/>
          <w:highlight w:val="none"/>
        </w:rPr>
        <w:t>不符合法律、法规和</w:t>
      </w:r>
      <w:r>
        <w:rPr>
          <w:rFonts w:hint="eastAsia" w:ascii="宋体" w:hAnsi="宋体" w:cs="宋体"/>
          <w:color w:val="auto"/>
          <w:sz w:val="24"/>
          <w:szCs w:val="24"/>
          <w:highlight w:val="none"/>
          <w:lang w:eastAsia="zh-CN"/>
        </w:rPr>
        <w:t>磋商文件</w:t>
      </w:r>
      <w:r>
        <w:rPr>
          <w:rFonts w:hint="eastAsia" w:ascii="宋体" w:hAnsi="宋体" w:cs="宋体"/>
          <w:color w:val="auto"/>
          <w:sz w:val="24"/>
          <w:szCs w:val="24"/>
          <w:highlight w:val="none"/>
        </w:rPr>
        <w:t>中规定的其他无效情形</w:t>
      </w:r>
      <w:r>
        <w:rPr>
          <w:rFonts w:hint="eastAsia" w:ascii="宋体" w:hAnsi="宋体" w:cs="宋体"/>
          <w:color w:val="auto"/>
          <w:sz w:val="22"/>
          <w:szCs w:val="22"/>
          <w:highlight w:val="none"/>
        </w:rPr>
        <w:t>。</w:t>
      </w:r>
    </w:p>
    <w:p>
      <w:pPr>
        <w:rPr>
          <w:rFonts w:ascii="宋体" w:hAnsi="宋体" w:cs="宋体"/>
          <w:b/>
          <w:bCs/>
          <w:color w:val="auto"/>
          <w:sz w:val="24"/>
          <w:highlight w:val="none"/>
        </w:rPr>
      </w:pPr>
      <w:bookmarkStart w:id="112" w:name="_Toc18885_WPSOffice_Level2"/>
      <w:bookmarkStart w:id="113" w:name="_Toc28358_WPSOffice_Level2"/>
      <w:bookmarkStart w:id="114" w:name="_Toc15430_WPSOffice_Level2"/>
      <w:r>
        <w:rPr>
          <w:rFonts w:hint="eastAsia" w:ascii="宋体" w:hAnsi="宋体" w:cs="宋体"/>
          <w:b/>
          <w:bCs/>
          <w:color w:val="auto"/>
          <w:sz w:val="24"/>
          <w:highlight w:val="none"/>
        </w:rPr>
        <w:t>4.磋商澄清</w:t>
      </w:r>
      <w:bookmarkEnd w:id="112"/>
      <w:bookmarkEnd w:id="113"/>
      <w:bookmarkEnd w:id="114"/>
    </w:p>
    <w:p>
      <w:pPr>
        <w:ind w:firstLine="480" w:firstLineChars="200"/>
        <w:rPr>
          <w:rFonts w:ascii="宋体" w:hAnsi="宋体" w:cs="宋体"/>
          <w:color w:val="auto"/>
          <w:sz w:val="24"/>
          <w:highlight w:val="none"/>
        </w:rPr>
      </w:pPr>
      <w:r>
        <w:rPr>
          <w:rFonts w:hint="eastAsia" w:ascii="宋体" w:hAnsi="宋体" w:cs="宋体"/>
          <w:color w:val="auto"/>
          <w:sz w:val="24"/>
          <w:highlight w:val="none"/>
        </w:rPr>
        <w:t>4.1磋商小组有权就磋商响应文件中含混之处向上述步骤初审合格的磋商供应商提出询问或澄清要求；磋商供应商将有关询标澄清、补正、说明的内容应以书面形式提交；</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4.3磋商供应商对磋商响应文件的澄清不得改变磋商报价及实质内容。磋商时，磋商响应文件中出现下列情况，修正原则为：</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（1）磋商响应文件中响应报价表内容与磋商响应文件中明细内容不一致的，以响应报价表为准；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（2）磋商报价的大写金额和小写金额不一致的，以大写金额为准；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（3）总价金额与按单价汇总金额不一致的，以单价金额计算结果为准；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（4）单价金额小数点有明显错位的，以总价为准，并修改单价；</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（5）磋商响应文件正本与副本不一致的，以正本为准；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（6）多处内容交叉不符时，以磋商小组成员会评审结果为准；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（7）文字与图表不符时以文字为准；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按上述修正错误的原则及方法调整或修正磋商响应文件的报价，磋商供应商同意后，调整后的报价对磋商供应商起约束作用。如果磋商供应商不接受修正后的报价，则其磋商活动将被拒绝，并且其磋商保证金也将被没收</w:t>
      </w:r>
    </w:p>
    <w:p>
      <w:pPr>
        <w:rPr>
          <w:rFonts w:ascii="宋体" w:hAnsi="宋体" w:cs="宋体"/>
          <w:b/>
          <w:bCs/>
          <w:color w:val="auto"/>
          <w:sz w:val="24"/>
          <w:highlight w:val="none"/>
        </w:rPr>
      </w:pPr>
      <w:bookmarkStart w:id="115" w:name="_Toc12107_WPSOffice_Level2"/>
      <w:bookmarkStart w:id="116" w:name="_Toc22022_WPSOffice_Level2"/>
      <w:bookmarkStart w:id="117" w:name="_Toc14855_WPSOffice_Level2"/>
      <w:r>
        <w:rPr>
          <w:rFonts w:hint="eastAsia" w:ascii="宋体" w:hAnsi="宋体" w:cs="宋体"/>
          <w:b/>
          <w:bCs/>
          <w:color w:val="auto"/>
          <w:sz w:val="24"/>
          <w:highlight w:val="none"/>
        </w:rPr>
        <w:t>5.评审方法及内容</w:t>
      </w:r>
      <w:bookmarkEnd w:id="115"/>
      <w:bookmarkEnd w:id="116"/>
      <w:bookmarkEnd w:id="117"/>
    </w:p>
    <w:p>
      <w:pPr>
        <w:ind w:firstLine="480" w:firstLineChars="200"/>
        <w:rPr>
          <w:rFonts w:ascii="宋体" w:hAnsi="宋体" w:cs="宋体"/>
          <w:color w:val="auto"/>
          <w:sz w:val="24"/>
          <w:highlight w:val="none"/>
        </w:rPr>
      </w:pPr>
      <w:r>
        <w:rPr>
          <w:rFonts w:hint="eastAsia" w:ascii="宋体" w:hAnsi="宋体" w:cs="宋体"/>
          <w:color w:val="auto"/>
          <w:sz w:val="24"/>
          <w:highlight w:val="none"/>
        </w:rPr>
        <w:t>5.1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5.2磋商小组根据以下内容进行综合比较，自主打分，按最后得分由高到低汇总排序，以标段为单位分别推荐成交候选3名供应商；磋商小组根据磋商结果写出磋商意见。</w:t>
      </w:r>
    </w:p>
    <w:p>
      <w:pPr>
        <w:pStyle w:val="11"/>
        <w:rPr>
          <w:rFonts w:ascii="宋体" w:hAnsi="宋体" w:cs="宋体"/>
          <w:b/>
          <w:bCs/>
          <w:color w:val="auto"/>
          <w:highlight w:val="none"/>
        </w:rPr>
      </w:pPr>
      <w:r>
        <w:rPr>
          <w:rFonts w:hint="eastAsia" w:ascii="宋体" w:hAnsi="宋体" w:cs="宋体"/>
          <w:b/>
          <w:bCs/>
          <w:color w:val="auto"/>
          <w:highlight w:val="none"/>
        </w:rPr>
        <w:t>5.3评审指标分值构成（总计100分）</w:t>
      </w:r>
    </w:p>
    <w:tbl>
      <w:tblPr>
        <w:tblStyle w:val="24"/>
        <w:tblW w:w="9230" w:type="dxa"/>
        <w:tblInd w:w="13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451"/>
        <w:gridCol w:w="5557"/>
        <w:gridCol w:w="9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Align w:val="center"/>
          </w:tcPr>
          <w:p>
            <w:pPr>
              <w:pStyle w:val="15"/>
              <w:spacing w:line="360" w:lineRule="auto"/>
              <w:jc w:val="center"/>
              <w:rPr>
                <w:rFonts w:hAnsi="宋体" w:cs="宋体"/>
                <w:b/>
                <w:color w:val="auto"/>
                <w:highlight w:val="none"/>
              </w:rPr>
            </w:pPr>
            <w:r>
              <w:rPr>
                <w:rFonts w:hint="eastAsia" w:hAnsi="宋体" w:cs="宋体"/>
                <w:b/>
                <w:color w:val="auto"/>
                <w:highlight w:val="none"/>
              </w:rPr>
              <w:t>评标项目</w:t>
            </w:r>
          </w:p>
        </w:tc>
        <w:tc>
          <w:tcPr>
            <w:tcW w:w="1451"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评标分项</w:t>
            </w:r>
          </w:p>
        </w:tc>
        <w:tc>
          <w:tcPr>
            <w:tcW w:w="555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评标分项及分值</w:t>
            </w:r>
          </w:p>
        </w:tc>
        <w:tc>
          <w:tcPr>
            <w:tcW w:w="916" w:type="dxa"/>
            <w:vAlign w:val="center"/>
          </w:tcPr>
          <w:p>
            <w:pPr>
              <w:spacing w:line="360" w:lineRule="auto"/>
              <w:ind w:right="6"/>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价格部分</w:t>
            </w:r>
          </w:p>
          <w:p>
            <w:pPr>
              <w:spacing w:line="440" w:lineRule="exact"/>
              <w:jc w:val="center"/>
              <w:rPr>
                <w:rFonts w:ascii="宋体" w:hAnsi="宋体" w:cs="宋体"/>
                <w:b/>
                <w:color w:val="auto"/>
                <w:sz w:val="24"/>
                <w:highlight w:val="none"/>
              </w:rPr>
            </w:pPr>
            <w:r>
              <w:rPr>
                <w:rFonts w:hint="eastAsia" w:ascii="宋体" w:hAnsi="宋体" w:cs="宋体"/>
                <w:color w:val="auto"/>
                <w:sz w:val="24"/>
                <w:highlight w:val="none"/>
              </w:rPr>
              <w:t>（30分）</w:t>
            </w:r>
          </w:p>
        </w:tc>
        <w:tc>
          <w:tcPr>
            <w:tcW w:w="1451" w:type="dxa"/>
            <w:vAlign w:val="center"/>
          </w:tcPr>
          <w:p>
            <w:pPr>
              <w:spacing w:line="440" w:lineRule="exact"/>
              <w:ind w:right="-23" w:rightChars="-11"/>
              <w:jc w:val="center"/>
              <w:rPr>
                <w:rFonts w:ascii="宋体" w:hAnsi="宋体" w:cs="宋体"/>
                <w:b/>
                <w:color w:val="auto"/>
                <w:sz w:val="24"/>
                <w:highlight w:val="none"/>
              </w:rPr>
            </w:pPr>
            <w:r>
              <w:rPr>
                <w:rFonts w:hint="eastAsia" w:ascii="宋体" w:hAnsi="宋体" w:cs="宋体"/>
                <w:bCs/>
                <w:color w:val="auto"/>
                <w:sz w:val="24"/>
                <w:highlight w:val="none"/>
              </w:rPr>
              <w:t>计算磋商报价得分</w:t>
            </w:r>
          </w:p>
        </w:tc>
        <w:tc>
          <w:tcPr>
            <w:tcW w:w="5557" w:type="dxa"/>
            <w:vAlign w:val="center"/>
          </w:tcPr>
          <w:p>
            <w:pPr>
              <w:spacing w:line="360" w:lineRule="auto"/>
              <w:jc w:val="left"/>
              <w:rPr>
                <w:rFonts w:ascii="宋体" w:hAnsi="宋体" w:cs="宋体"/>
                <w:b/>
                <w:color w:val="auto"/>
                <w:sz w:val="24"/>
                <w:highlight w:val="none"/>
              </w:rPr>
            </w:pPr>
            <w:r>
              <w:rPr>
                <w:rFonts w:hint="eastAsia" w:ascii="宋体" w:hAnsi="宋体" w:cs="宋体"/>
                <w:color w:val="auto"/>
                <w:sz w:val="24"/>
                <w:highlight w:val="none"/>
              </w:rPr>
              <w:t>满足磋商文件要求且报价价格最低的磋商报价（磋商总报价）为评审基准价，其价格为 30分。其他供应商的价格分按照下列公式计算：磋商报价得分＝（评审基准价/磋商报价）×30%×100。</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restart"/>
            <w:vAlign w:val="center"/>
          </w:tcPr>
          <w:p>
            <w:pPr>
              <w:spacing w:line="440" w:lineRule="exact"/>
              <w:jc w:val="center"/>
              <w:rPr>
                <w:rFonts w:ascii="宋体" w:hAnsi="宋体" w:cs="宋体"/>
                <w:color w:val="auto"/>
                <w:sz w:val="24"/>
                <w:highlight w:val="none"/>
              </w:rPr>
            </w:pPr>
            <w:r>
              <w:rPr>
                <w:rFonts w:hint="eastAsia" w:ascii="宋体" w:hAnsi="宋体" w:cs="宋体"/>
                <w:color w:val="auto"/>
                <w:sz w:val="24"/>
                <w:highlight w:val="none"/>
              </w:rPr>
              <w:t>商务部分</w:t>
            </w:r>
          </w:p>
          <w:p>
            <w:pPr>
              <w:pStyle w:val="15"/>
              <w:spacing w:line="360" w:lineRule="auto"/>
              <w:jc w:val="center"/>
              <w:rPr>
                <w:rFonts w:hAnsi="宋体" w:cs="宋体"/>
                <w:b/>
                <w:color w:val="auto"/>
                <w:highlight w:val="none"/>
              </w:rPr>
            </w:pPr>
            <w:r>
              <w:rPr>
                <w:rFonts w:hint="eastAsia" w:hAnsi="宋体" w:cs="宋体"/>
                <w:color w:val="auto"/>
                <w:highlight w:val="none"/>
              </w:rPr>
              <w:t>（13分）</w:t>
            </w:r>
          </w:p>
        </w:tc>
        <w:tc>
          <w:tcPr>
            <w:tcW w:w="1451" w:type="dxa"/>
            <w:vAlign w:val="center"/>
          </w:tcPr>
          <w:p>
            <w:pPr>
              <w:spacing w:line="440" w:lineRule="exact"/>
              <w:ind w:right="-23" w:rightChars="-11"/>
              <w:jc w:val="center"/>
              <w:rPr>
                <w:rFonts w:ascii="宋体" w:hAnsi="宋体" w:cs="宋体"/>
                <w:b/>
                <w:color w:val="auto"/>
                <w:sz w:val="24"/>
                <w:highlight w:val="none"/>
              </w:rPr>
            </w:pPr>
            <w:r>
              <w:rPr>
                <w:rFonts w:hint="eastAsia" w:ascii="宋体" w:hAnsi="宋体" w:cs="宋体"/>
                <w:bCs/>
                <w:color w:val="auto"/>
                <w:sz w:val="24"/>
                <w:highlight w:val="none"/>
                <w:lang w:eastAsia="zh-CN"/>
              </w:rPr>
              <w:t>响应文件</w:t>
            </w:r>
            <w:r>
              <w:rPr>
                <w:rFonts w:hint="eastAsia" w:ascii="宋体" w:hAnsi="宋体" w:cs="宋体"/>
                <w:bCs/>
                <w:color w:val="auto"/>
                <w:sz w:val="24"/>
                <w:highlight w:val="none"/>
              </w:rPr>
              <w:t>的规范性及完整性</w:t>
            </w:r>
          </w:p>
        </w:tc>
        <w:tc>
          <w:tcPr>
            <w:tcW w:w="5557" w:type="dxa"/>
            <w:vAlign w:val="center"/>
          </w:tcPr>
          <w:p>
            <w:pPr>
              <w:spacing w:line="440" w:lineRule="exact"/>
              <w:ind w:left="12" w:hanging="12" w:hangingChars="5"/>
              <w:jc w:val="left"/>
              <w:rPr>
                <w:rFonts w:ascii="宋体" w:hAnsi="宋体" w:cs="宋体"/>
                <w:b/>
                <w:color w:val="auto"/>
                <w:sz w:val="24"/>
                <w:highlight w:val="none"/>
              </w:rPr>
            </w:pP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制作规范，编制完整、详细、清晰；逐页有连续页码，有详细目录和评分索引，查阅方便，优得 3分，良得2分，一般得 1 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continue"/>
            <w:vAlign w:val="center"/>
          </w:tcPr>
          <w:p>
            <w:pPr>
              <w:pStyle w:val="15"/>
              <w:spacing w:line="360" w:lineRule="auto"/>
              <w:jc w:val="center"/>
              <w:rPr>
                <w:rFonts w:hAnsi="宋体" w:cs="宋体"/>
                <w:b/>
                <w:color w:val="auto"/>
                <w:highlight w:val="none"/>
              </w:rPr>
            </w:pPr>
          </w:p>
        </w:tc>
        <w:tc>
          <w:tcPr>
            <w:tcW w:w="1451" w:type="dxa"/>
            <w:vAlign w:val="center"/>
          </w:tcPr>
          <w:p>
            <w:pPr>
              <w:spacing w:line="440" w:lineRule="exact"/>
              <w:ind w:right="-23" w:rightChars="-11"/>
              <w:jc w:val="center"/>
              <w:rPr>
                <w:rFonts w:ascii="宋体" w:hAnsi="宋体" w:cs="宋体"/>
                <w:b/>
                <w:color w:val="auto"/>
                <w:sz w:val="24"/>
                <w:highlight w:val="none"/>
              </w:rPr>
            </w:pPr>
            <w:r>
              <w:rPr>
                <w:rFonts w:hint="eastAsia" w:ascii="宋体" w:hAnsi="宋体" w:cs="宋体"/>
                <w:bCs/>
                <w:color w:val="auto"/>
                <w:sz w:val="24"/>
                <w:highlight w:val="none"/>
              </w:rPr>
              <w:t>业绩</w:t>
            </w:r>
          </w:p>
        </w:tc>
        <w:tc>
          <w:tcPr>
            <w:tcW w:w="5557" w:type="dxa"/>
            <w:vAlign w:val="center"/>
          </w:tcPr>
          <w:p>
            <w:pPr>
              <w:spacing w:line="440" w:lineRule="exact"/>
              <w:ind w:right="-23" w:rightChars="-11"/>
              <w:jc w:val="left"/>
              <w:rPr>
                <w:rFonts w:ascii="宋体" w:hAnsi="宋体" w:cs="宋体"/>
                <w:color w:val="auto"/>
                <w:sz w:val="24"/>
                <w:highlight w:val="none"/>
              </w:rPr>
            </w:pPr>
            <w:r>
              <w:rPr>
                <w:rFonts w:hint="eastAsia" w:ascii="宋体" w:hAnsi="宋体" w:cs="宋体"/>
                <w:color w:val="auto"/>
                <w:sz w:val="24"/>
                <w:highlight w:val="none"/>
              </w:rPr>
              <w:t>提供2016年1月1日至今同类项目业绩合同且合同金额为100万以上（含100万）每提供一个业绩计2分，满分10分。（需提供业绩合同或中标通知书，原件现场备查）；</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restart"/>
            <w:vAlign w:val="center"/>
          </w:tcPr>
          <w:p>
            <w:pPr>
              <w:pStyle w:val="15"/>
              <w:spacing w:line="360" w:lineRule="auto"/>
              <w:jc w:val="center"/>
              <w:rPr>
                <w:rFonts w:hAnsi="宋体" w:cs="宋体"/>
                <w:bCs/>
                <w:color w:val="auto"/>
                <w:highlight w:val="none"/>
              </w:rPr>
            </w:pPr>
            <w:r>
              <w:rPr>
                <w:rFonts w:hint="eastAsia" w:hAnsi="宋体" w:cs="宋体"/>
                <w:bCs/>
                <w:color w:val="auto"/>
                <w:highlight w:val="none"/>
              </w:rPr>
              <w:t>技术部分（50分）</w:t>
            </w: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技术参数</w:t>
            </w:r>
          </w:p>
        </w:tc>
        <w:tc>
          <w:tcPr>
            <w:tcW w:w="5557"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1、供应商所投产品的技术参数全部满足磋商要求得 10分。</w:t>
            </w:r>
          </w:p>
          <w:p>
            <w:pPr>
              <w:spacing w:line="360" w:lineRule="auto"/>
              <w:rPr>
                <w:rFonts w:ascii="宋体" w:hAnsi="宋体" w:cs="宋体"/>
                <w:color w:val="auto"/>
                <w:sz w:val="24"/>
                <w:highlight w:val="none"/>
              </w:rPr>
            </w:pPr>
            <w:r>
              <w:rPr>
                <w:rFonts w:hint="eastAsia" w:ascii="宋体" w:hAnsi="宋体" w:cs="宋体"/>
                <w:color w:val="auto"/>
                <w:sz w:val="24"/>
                <w:highlight w:val="none"/>
              </w:rPr>
              <w:t>2、技术参数每出现一项负偏离扣1分，扣完为止。</w:t>
            </w:r>
          </w:p>
          <w:p>
            <w:pPr>
              <w:pStyle w:val="2"/>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3、供应商所投产品的技术参数每出现一项正偏离加1分。满分3分。</w:t>
            </w:r>
          </w:p>
          <w:p>
            <w:pPr>
              <w:pStyle w:val="2"/>
              <w:ind w:firstLine="0" w:firstLineChars="0"/>
              <w:rPr>
                <w:rFonts w:ascii="宋体" w:hAnsi="宋体" w:cs="宋体"/>
                <w:color w:val="auto"/>
                <w:sz w:val="24"/>
                <w:szCs w:val="24"/>
                <w:highlight w:val="none"/>
              </w:rPr>
            </w:pPr>
            <w:r>
              <w:rPr>
                <w:rFonts w:hint="eastAsia" w:ascii="宋体" w:hAnsi="宋体" w:cs="宋体"/>
                <w:bCs/>
                <w:color w:val="auto"/>
                <w:sz w:val="24"/>
                <w:szCs w:val="24"/>
                <w:highlight w:val="none"/>
              </w:rPr>
              <w:t>注：供应商须在技术偏离表中对技术参数进行回应，并尽可能多的提供相关技术参数佐证材料予以证明其技术参数的响应性。</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continue"/>
            <w:vAlign w:val="center"/>
          </w:tcPr>
          <w:p>
            <w:pPr>
              <w:pStyle w:val="15"/>
              <w:spacing w:line="360" w:lineRule="auto"/>
              <w:jc w:val="center"/>
              <w:rPr>
                <w:rFonts w:hAnsi="宋体" w:cs="宋体"/>
                <w:bCs/>
                <w:color w:val="auto"/>
                <w:highlight w:val="none"/>
              </w:rPr>
            </w:pP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技术方案</w:t>
            </w:r>
          </w:p>
        </w:tc>
        <w:tc>
          <w:tcPr>
            <w:tcW w:w="5557" w:type="dxa"/>
            <w:vAlign w:val="center"/>
          </w:tcPr>
          <w:p>
            <w:pPr>
              <w:pStyle w:val="2"/>
              <w:ind w:firstLine="0"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制定详细方案说明对产品生产过程的质量控制、质量管理等内部管理制度和措施，对财力调配、运输、派送有详细的方案说明。</w:t>
            </w:r>
          </w:p>
          <w:p>
            <w:pPr>
              <w:pStyle w:val="2"/>
              <w:ind w:firstLine="0"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各项方案全面、完善、合理，计8.1-12分；</w:t>
            </w:r>
          </w:p>
          <w:p>
            <w:pPr>
              <w:pStyle w:val="2"/>
              <w:ind w:firstLine="0"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各项方案制定情况一般的，计4.1-8分；</w:t>
            </w:r>
          </w:p>
          <w:p>
            <w:pPr>
              <w:pStyle w:val="2"/>
              <w:ind w:firstLine="0"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各项方案制定较差的，计0-4分。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continue"/>
            <w:vAlign w:val="center"/>
          </w:tcPr>
          <w:p>
            <w:pPr>
              <w:pStyle w:val="15"/>
              <w:spacing w:line="360" w:lineRule="auto"/>
              <w:jc w:val="center"/>
              <w:rPr>
                <w:rFonts w:hAnsi="宋体" w:cs="宋体"/>
                <w:bCs/>
                <w:color w:val="auto"/>
                <w:highlight w:val="none"/>
              </w:rPr>
            </w:pP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实施方案</w:t>
            </w:r>
          </w:p>
        </w:tc>
        <w:tc>
          <w:tcPr>
            <w:tcW w:w="5557" w:type="dxa"/>
            <w:vAlign w:val="center"/>
          </w:tcPr>
          <w:p>
            <w:pPr>
              <w:pStyle w:val="2"/>
              <w:ind w:firstLine="0"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供应商有针对本项目的实施组织机构、人员安排有具体方案，分工合理、责任明确，能确保项目顺利实施。按其响应程度计0-5分。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306" w:type="dxa"/>
            <w:vMerge w:val="continue"/>
            <w:vAlign w:val="center"/>
          </w:tcPr>
          <w:p>
            <w:pPr>
              <w:pStyle w:val="15"/>
              <w:spacing w:line="360" w:lineRule="auto"/>
              <w:jc w:val="center"/>
              <w:rPr>
                <w:rFonts w:hAnsi="宋体" w:cs="宋体"/>
                <w:bCs/>
                <w:color w:val="auto"/>
                <w:highlight w:val="none"/>
              </w:rPr>
            </w:pP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印刷设备及生产场地</w:t>
            </w:r>
          </w:p>
        </w:tc>
        <w:tc>
          <w:tcPr>
            <w:tcW w:w="5557"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印刷设备配套齐全、生产场地符合相应的技术标准和环保。安全要求。提供生产场地及设备的相关图片，按其响应程度计0-5分。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tblHeader/>
        </w:trPr>
        <w:tc>
          <w:tcPr>
            <w:tcW w:w="1306" w:type="dxa"/>
            <w:vMerge w:val="continue"/>
            <w:vAlign w:val="center"/>
          </w:tcPr>
          <w:p>
            <w:pPr>
              <w:pStyle w:val="15"/>
              <w:spacing w:line="360" w:lineRule="auto"/>
              <w:jc w:val="center"/>
              <w:rPr>
                <w:rFonts w:hAnsi="宋体" w:cs="宋体"/>
                <w:bCs/>
                <w:color w:val="auto"/>
                <w:highlight w:val="none"/>
              </w:rPr>
            </w:pP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印刷材料</w:t>
            </w:r>
          </w:p>
        </w:tc>
        <w:tc>
          <w:tcPr>
            <w:tcW w:w="5557"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所投产品质量保证完善，所使用的产品及印刷材料符合国内相关标准及使用要求，附本年度进货发票或购货合同。按其响应程度计0-5分。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Merge w:val="continue"/>
            <w:vAlign w:val="center"/>
          </w:tcPr>
          <w:p>
            <w:pPr>
              <w:pStyle w:val="15"/>
              <w:spacing w:line="360" w:lineRule="auto"/>
              <w:jc w:val="center"/>
              <w:rPr>
                <w:rFonts w:hAnsi="宋体" w:cs="宋体"/>
                <w:bCs/>
                <w:color w:val="auto"/>
                <w:highlight w:val="none"/>
              </w:rPr>
            </w:pP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样品</w:t>
            </w:r>
          </w:p>
        </w:tc>
        <w:tc>
          <w:tcPr>
            <w:tcW w:w="5557" w:type="dxa"/>
            <w:vAlign w:val="center"/>
          </w:tcPr>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对各供应提供样品进行横向对比（内容包含：纸张厚度，打印色彩、覆膜及</w:t>
            </w:r>
            <w:r>
              <w:rPr>
                <w:rFonts w:hint="eastAsia" w:ascii="宋体" w:hAnsi="宋体" w:cs="宋体"/>
                <w:color w:val="auto"/>
                <w:sz w:val="24"/>
                <w:szCs w:val="32"/>
                <w:highlight w:val="none"/>
              </w:rPr>
              <w:t>桶盒</w:t>
            </w:r>
            <w:r>
              <w:rPr>
                <w:rFonts w:hint="eastAsia" w:ascii="宋体" w:hAnsi="宋体" w:cs="宋体"/>
                <w:color w:val="auto"/>
                <w:sz w:val="24"/>
                <w:highlight w:val="none"/>
              </w:rPr>
              <w:t>样式等进行综合对比）；由磋商小组按其优劣程度自行打分，满分10分；</w:t>
            </w:r>
          </w:p>
        </w:tc>
        <w:tc>
          <w:tcPr>
            <w:tcW w:w="916" w:type="dxa"/>
            <w:vAlign w:val="center"/>
          </w:tcPr>
          <w:p>
            <w:pPr>
              <w:spacing w:line="360" w:lineRule="auto"/>
              <w:ind w:right="6"/>
              <w:jc w:val="center"/>
              <w:rPr>
                <w:rFonts w:ascii="宋体" w:hAnsi="宋体" w:cs="宋体"/>
                <w:bCs/>
                <w:color w:val="auto"/>
                <w:sz w:val="24"/>
                <w:highlight w:val="none"/>
              </w:rPr>
            </w:pPr>
            <w:r>
              <w:rPr>
                <w:rFonts w:hint="eastAsia" w:ascii="宋体" w:hAnsi="宋体" w:cs="宋体"/>
                <w:bCs/>
                <w:color w:val="auto"/>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blHeader/>
        </w:trPr>
        <w:tc>
          <w:tcPr>
            <w:tcW w:w="1306" w:type="dxa"/>
            <w:vAlign w:val="center"/>
          </w:tcPr>
          <w:p>
            <w:pPr>
              <w:pStyle w:val="15"/>
              <w:spacing w:line="360" w:lineRule="auto"/>
              <w:jc w:val="center"/>
              <w:rPr>
                <w:rFonts w:hAnsi="宋体" w:cs="宋体"/>
                <w:bCs/>
                <w:color w:val="auto"/>
                <w:highlight w:val="none"/>
              </w:rPr>
            </w:pPr>
            <w:r>
              <w:rPr>
                <w:rFonts w:hint="eastAsia" w:hAnsi="宋体" w:cs="宋体"/>
                <w:bCs/>
                <w:color w:val="auto"/>
                <w:highlight w:val="none"/>
              </w:rPr>
              <w:t>售后</w:t>
            </w:r>
          </w:p>
          <w:p>
            <w:pPr>
              <w:pStyle w:val="15"/>
              <w:spacing w:line="360" w:lineRule="auto"/>
              <w:jc w:val="center"/>
              <w:rPr>
                <w:rFonts w:hAnsi="宋体" w:cs="宋体"/>
                <w:bCs/>
                <w:color w:val="auto"/>
                <w:highlight w:val="none"/>
              </w:rPr>
            </w:pPr>
            <w:r>
              <w:rPr>
                <w:rFonts w:hint="eastAsia" w:hAnsi="宋体" w:cs="宋体"/>
                <w:bCs/>
                <w:color w:val="auto"/>
                <w:highlight w:val="none"/>
              </w:rPr>
              <w:t>（7分）</w:t>
            </w:r>
          </w:p>
        </w:tc>
        <w:tc>
          <w:tcPr>
            <w:tcW w:w="1451" w:type="dxa"/>
            <w:vAlign w:val="center"/>
          </w:tcPr>
          <w:p>
            <w:pPr>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售后及服务承诺</w:t>
            </w:r>
          </w:p>
        </w:tc>
        <w:tc>
          <w:tcPr>
            <w:tcW w:w="5557" w:type="dxa"/>
            <w:vAlign w:val="center"/>
          </w:tcPr>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1、售后服务机构健全，能够提供本地化服务的（提供相关证明材料，不限于营业执照、房产证明等），得2分。</w:t>
            </w:r>
          </w:p>
          <w:p>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2、提供服务标准，在验收、残损品调换承诺等方面，具有明确的服务承诺。承诺切实可行计3-5分，承诺内容空泛的计0-2分，未提供的不计分。</w:t>
            </w:r>
          </w:p>
        </w:tc>
        <w:tc>
          <w:tcPr>
            <w:tcW w:w="916" w:type="dxa"/>
            <w:vAlign w:val="center"/>
          </w:tcPr>
          <w:p>
            <w:pPr>
              <w:spacing w:line="360" w:lineRule="auto"/>
              <w:ind w:right="6"/>
              <w:jc w:val="center"/>
              <w:rPr>
                <w:rFonts w:ascii="宋体" w:hAnsi="宋体" w:cs="宋体"/>
                <w:b/>
                <w:color w:val="auto"/>
                <w:sz w:val="24"/>
                <w:highlight w:val="none"/>
              </w:rPr>
            </w:pPr>
            <w:r>
              <w:rPr>
                <w:rFonts w:hint="eastAsia" w:ascii="宋体" w:hAnsi="宋体" w:cs="宋体"/>
                <w:bCs/>
                <w:color w:val="auto"/>
                <w:sz w:val="24"/>
                <w:highlight w:val="none"/>
              </w:rPr>
              <w:t>7</w:t>
            </w:r>
          </w:p>
        </w:tc>
      </w:tr>
    </w:tbl>
    <w:p>
      <w:pPr>
        <w:spacing w:line="420" w:lineRule="atLeast"/>
        <w:rPr>
          <w:rFonts w:ascii="宋体" w:hAnsi="宋体" w:cs="宋体"/>
          <w:color w:val="auto"/>
          <w:sz w:val="24"/>
          <w:highlight w:val="none"/>
        </w:rPr>
      </w:pPr>
      <w:r>
        <w:rPr>
          <w:rFonts w:hint="eastAsia" w:ascii="宋体" w:hAnsi="宋体" w:cs="宋体"/>
          <w:color w:val="auto"/>
          <w:sz w:val="24"/>
          <w:highlight w:val="none"/>
        </w:rPr>
        <w:t>注：业绩评审时，评审专家依据业绩合同复印件进行评审（评审专家认为有必要时，可以核查合同原件，需要核查合同原件而未提供合同原件的，该合同不进行计分。），</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无业绩合同复印件的不给分。招标结束后，采购人有进一步核实业绩合同真假的权利，如若发现合同造假采购人有权取消中标人的中标资格。以上材料经现场审查后，如有虚假行为，根据相关法律法规进行相应处罚。</w:t>
      </w:r>
    </w:p>
    <w:p>
      <w:pPr>
        <w:spacing w:line="420" w:lineRule="atLeast"/>
        <w:rPr>
          <w:rFonts w:ascii="宋体" w:hAnsi="宋体" w:cs="宋体"/>
          <w:color w:val="auto"/>
          <w:sz w:val="24"/>
          <w:highlight w:val="none"/>
        </w:rPr>
      </w:pPr>
      <w:r>
        <w:rPr>
          <w:rFonts w:hint="eastAsia" w:ascii="宋体" w:hAnsi="宋体" w:cs="宋体"/>
          <w:color w:val="auto"/>
          <w:sz w:val="24"/>
          <w:highlight w:val="none"/>
        </w:rPr>
        <w:t>5.4评标排序</w:t>
      </w:r>
    </w:p>
    <w:p>
      <w:pPr>
        <w:spacing w:line="420" w:lineRule="atLeast"/>
        <w:ind w:firstLine="420"/>
        <w:rPr>
          <w:rFonts w:ascii="宋体" w:hAnsi="宋体" w:cs="宋体"/>
          <w:color w:val="auto"/>
          <w:highlight w:val="none"/>
        </w:rPr>
      </w:pPr>
      <w:r>
        <w:rPr>
          <w:rFonts w:hint="eastAsia" w:ascii="宋体" w:hAnsi="宋体" w:cs="宋体"/>
          <w:color w:val="auto"/>
          <w:sz w:val="24"/>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商务文件得分较高的优先。当一个供应商的综合得分在两个标段同时排名第一时，仅保留合同金额较大标段的成交资格，合同金额较小标段各供应商排序依次递增。</w:t>
      </w:r>
    </w:p>
    <w:p>
      <w:pPr>
        <w:rPr>
          <w:rFonts w:ascii="宋体" w:hAnsi="宋体" w:cs="宋体"/>
          <w:b/>
          <w:bCs/>
          <w:color w:val="auto"/>
          <w:sz w:val="24"/>
          <w:highlight w:val="none"/>
        </w:rPr>
      </w:pPr>
      <w:bookmarkStart w:id="118" w:name="_Toc20031_WPSOffice_Level2"/>
      <w:bookmarkStart w:id="119" w:name="_Toc24240_WPSOffice_Level2"/>
      <w:bookmarkStart w:id="120" w:name="_Toc16238_WPSOffice_Level2"/>
      <w:bookmarkStart w:id="121" w:name="_Toc16891_WPSOffice_Level2"/>
      <w:bookmarkStart w:id="122" w:name="_Toc5973_WPSOffice_Level2"/>
      <w:bookmarkStart w:id="123" w:name="_Toc9352_WPSOffice_Level2"/>
      <w:bookmarkStart w:id="124" w:name="_Toc19224_WPSOffice_Level2"/>
      <w:bookmarkStart w:id="125" w:name="_Toc22514_WPSOffice_Level2"/>
      <w:r>
        <w:rPr>
          <w:rFonts w:hint="eastAsia" w:ascii="宋体" w:hAnsi="宋体" w:cs="宋体"/>
          <w:b/>
          <w:bCs/>
          <w:color w:val="auto"/>
          <w:sz w:val="24"/>
          <w:highlight w:val="none"/>
        </w:rPr>
        <w:t>6.政策性价格优惠折扣规定</w:t>
      </w:r>
      <w:bookmarkEnd w:id="118"/>
      <w:bookmarkEnd w:id="119"/>
      <w:bookmarkEnd w:id="120"/>
      <w:bookmarkEnd w:id="121"/>
      <w:bookmarkEnd w:id="122"/>
      <w:bookmarkEnd w:id="123"/>
      <w:bookmarkEnd w:id="124"/>
      <w:bookmarkEnd w:id="125"/>
    </w:p>
    <w:p>
      <w:pPr>
        <w:ind w:firstLine="480" w:firstLineChars="200"/>
        <w:rPr>
          <w:rFonts w:ascii="宋体" w:hAnsi="宋体" w:cs="宋体"/>
          <w:color w:val="auto"/>
          <w:sz w:val="24"/>
          <w:highlight w:val="none"/>
        </w:rPr>
      </w:pPr>
      <w:r>
        <w:rPr>
          <w:rFonts w:hint="eastAsia" w:ascii="宋体" w:hAnsi="宋体" w:cs="宋体"/>
          <w:color w:val="auto"/>
          <w:sz w:val="24"/>
          <w:highlight w:val="none"/>
        </w:rPr>
        <w:t>经初审并磋商之后，对于所有满足磋商文件全部实质性要求并按照规定提交了最终报价的响应文件，按照以下规则进行评审价格的确定。</w:t>
      </w:r>
    </w:p>
    <w:p>
      <w:pPr>
        <w:rPr>
          <w:rFonts w:ascii="宋体" w:hAnsi="宋体" w:cs="宋体"/>
          <w:color w:val="auto"/>
          <w:sz w:val="24"/>
          <w:highlight w:val="none"/>
        </w:rPr>
      </w:pPr>
      <w:r>
        <w:rPr>
          <w:rFonts w:hint="eastAsia" w:ascii="宋体" w:hAnsi="宋体" w:cs="宋体"/>
          <w:color w:val="auto"/>
          <w:sz w:val="24"/>
          <w:highlight w:val="none"/>
        </w:rPr>
        <w:t>6.1磋商供应商为小型和微型企业（含联合体）、监狱企业、残疾人福利性单位的评审价计算规则：</w:t>
      </w:r>
    </w:p>
    <w:p>
      <w:pPr>
        <w:rPr>
          <w:rFonts w:ascii="宋体" w:hAnsi="宋体" w:cs="宋体"/>
          <w:color w:val="auto"/>
          <w:sz w:val="24"/>
          <w:highlight w:val="none"/>
        </w:rPr>
      </w:pPr>
      <w:r>
        <w:rPr>
          <w:rFonts w:hint="eastAsia" w:ascii="宋体" w:hAnsi="宋体" w:cs="宋体"/>
          <w:color w:val="auto"/>
          <w:sz w:val="24"/>
          <w:highlight w:val="none"/>
        </w:rPr>
        <w:t>6.1.1本办法所称中小企业（含中型、小型、微型企业，下同）应当同时符合以下条件：</w:t>
      </w:r>
    </w:p>
    <w:p>
      <w:pPr>
        <w:rPr>
          <w:rFonts w:ascii="宋体" w:hAnsi="宋体" w:cs="宋体"/>
          <w:color w:val="auto"/>
          <w:sz w:val="24"/>
          <w:highlight w:val="none"/>
        </w:rPr>
      </w:pPr>
      <w:r>
        <w:rPr>
          <w:rFonts w:hint="eastAsia" w:ascii="宋体" w:hAnsi="宋体" w:cs="宋体"/>
          <w:color w:val="auto"/>
          <w:sz w:val="24"/>
          <w:highlight w:val="none"/>
        </w:rPr>
        <w:t>6.1.1.1符合中小企业划分标准；</w:t>
      </w:r>
    </w:p>
    <w:p>
      <w:pPr>
        <w:rPr>
          <w:rFonts w:ascii="宋体" w:hAnsi="宋体" w:cs="宋体"/>
          <w:color w:val="auto"/>
          <w:sz w:val="24"/>
          <w:highlight w:val="none"/>
        </w:rPr>
      </w:pPr>
      <w:r>
        <w:rPr>
          <w:rFonts w:hint="eastAsia" w:ascii="宋体" w:hAnsi="宋体" w:cs="宋体"/>
          <w:color w:val="auto"/>
          <w:sz w:val="24"/>
          <w:highlight w:val="none"/>
        </w:rPr>
        <w:t>6.1.1.2提供本企业承担的服务，或者提供其他中小企业承担的服务。本项所称服务不包括使用大型企业的服务。</w:t>
      </w:r>
    </w:p>
    <w:p>
      <w:pPr>
        <w:rPr>
          <w:rFonts w:ascii="宋体" w:hAnsi="宋体" w:cs="宋体"/>
          <w:color w:val="auto"/>
          <w:sz w:val="24"/>
          <w:highlight w:val="none"/>
        </w:rPr>
      </w:pPr>
      <w:r>
        <w:rPr>
          <w:rFonts w:hint="eastAsia" w:ascii="宋体" w:hAnsi="宋体" w:cs="宋体"/>
          <w:color w:val="auto"/>
          <w:sz w:val="24"/>
          <w:highlight w:val="none"/>
        </w:rPr>
        <w:t>6.1.2本规定所称中小企业划分标准，是指国务院有关部门根据企业从业人员、营业收入、资产总额等指标制定的中小企业划型标准（工信部联企业〔2011〕300号）；</w:t>
      </w:r>
    </w:p>
    <w:p>
      <w:pPr>
        <w:rPr>
          <w:rFonts w:ascii="宋体" w:hAnsi="宋体" w:cs="宋体"/>
          <w:color w:val="auto"/>
          <w:sz w:val="24"/>
          <w:highlight w:val="none"/>
        </w:rPr>
      </w:pPr>
      <w:r>
        <w:rPr>
          <w:rFonts w:hint="eastAsia" w:ascii="宋体" w:hAnsi="宋体" w:cs="宋体"/>
          <w:color w:val="auto"/>
          <w:sz w:val="24"/>
          <w:highlight w:val="none"/>
        </w:rPr>
        <w:t>6.1.3小型、微型企业提供有中型企业承担服务的，视同为中型企业；小型、微型、中型企业提供有大型企业承担服务的，视同为大型企业。</w:t>
      </w:r>
    </w:p>
    <w:p>
      <w:pPr>
        <w:rPr>
          <w:rFonts w:ascii="宋体" w:hAnsi="宋体" w:cs="宋体"/>
          <w:color w:val="auto"/>
          <w:sz w:val="24"/>
          <w:highlight w:val="none"/>
        </w:rPr>
      </w:pPr>
      <w:r>
        <w:rPr>
          <w:rFonts w:hint="eastAsia" w:ascii="宋体" w:hAnsi="宋体" w:cs="宋体"/>
          <w:color w:val="auto"/>
          <w:sz w:val="24"/>
          <w:highlight w:val="none"/>
        </w:rPr>
        <w:t>6.1.4本办法所称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rPr>
          <w:rFonts w:ascii="宋体" w:hAnsi="宋体" w:cs="宋体"/>
          <w:color w:val="auto"/>
          <w:sz w:val="24"/>
          <w:highlight w:val="none"/>
        </w:rPr>
      </w:pPr>
      <w:r>
        <w:rPr>
          <w:rFonts w:hint="eastAsia" w:ascii="宋体" w:hAnsi="宋体" w:cs="宋体"/>
          <w:color w:val="auto"/>
          <w:sz w:val="24"/>
          <w:highlight w:val="none"/>
        </w:rPr>
        <w:t>6.1.5残疾人福利性单位磋商应当同时符合以下条件：</w:t>
      </w:r>
    </w:p>
    <w:p>
      <w:pPr>
        <w:rPr>
          <w:rFonts w:ascii="宋体" w:hAnsi="宋体" w:cs="宋体"/>
          <w:color w:val="auto"/>
          <w:sz w:val="24"/>
          <w:highlight w:val="none"/>
        </w:rPr>
      </w:pPr>
      <w:r>
        <w:rPr>
          <w:rFonts w:hint="eastAsia" w:ascii="宋体" w:hAnsi="宋体" w:cs="宋体"/>
          <w:color w:val="auto"/>
          <w:sz w:val="24"/>
          <w:highlight w:val="none"/>
        </w:rPr>
        <w:t>6.1.5.1符合（财库[2017]141号）文件规定的残疾人福利性单位，提供本单位承担的服务（以下简称产品）。</w:t>
      </w:r>
    </w:p>
    <w:p>
      <w:pPr>
        <w:rPr>
          <w:rFonts w:ascii="宋体" w:hAnsi="宋体" w:cs="宋体"/>
          <w:color w:val="auto"/>
          <w:sz w:val="24"/>
          <w:highlight w:val="none"/>
        </w:rPr>
      </w:pPr>
      <w:r>
        <w:rPr>
          <w:rFonts w:hint="eastAsia" w:ascii="宋体" w:hAnsi="宋体" w:cs="宋体"/>
          <w:color w:val="auto"/>
          <w:sz w:val="24"/>
          <w:highlight w:val="none"/>
        </w:rPr>
        <w:t>6.1.5.2参加磋商时，须提供《残疾人福利性单位声明函》，并对声明的真实性负责。</w:t>
      </w:r>
    </w:p>
    <w:p>
      <w:pPr>
        <w:rPr>
          <w:rFonts w:ascii="宋体" w:hAnsi="宋体" w:cs="宋体"/>
          <w:color w:val="auto"/>
          <w:sz w:val="24"/>
          <w:highlight w:val="none"/>
        </w:rPr>
      </w:pPr>
      <w:r>
        <w:rPr>
          <w:rFonts w:hint="eastAsia" w:ascii="宋体" w:hAnsi="宋体" w:cs="宋体"/>
          <w:color w:val="auto"/>
          <w:sz w:val="24"/>
          <w:highlight w:val="none"/>
        </w:rPr>
        <w:t>以上提供声明函，供应商对其真实性负责，如有事实不符的，将依照《政府采购法》第七十七条第一款的规定追究法律责任。</w:t>
      </w:r>
    </w:p>
    <w:p>
      <w:pPr>
        <w:rPr>
          <w:rFonts w:ascii="宋体" w:hAnsi="宋体" w:cs="宋体"/>
          <w:color w:val="auto"/>
          <w:sz w:val="24"/>
          <w:highlight w:val="none"/>
        </w:rPr>
      </w:pPr>
      <w:r>
        <w:rPr>
          <w:rFonts w:hint="eastAsia" w:ascii="宋体" w:hAnsi="宋体" w:cs="宋体"/>
          <w:color w:val="auto"/>
          <w:sz w:val="24"/>
          <w:highlight w:val="none"/>
        </w:rPr>
        <w:t>6.1.6评审价的计算：</w:t>
      </w:r>
    </w:p>
    <w:p>
      <w:pPr>
        <w:rPr>
          <w:rFonts w:ascii="宋体" w:hAnsi="宋体" w:cs="宋体"/>
          <w:color w:val="auto"/>
          <w:sz w:val="24"/>
          <w:highlight w:val="none"/>
        </w:rPr>
      </w:pPr>
      <w:r>
        <w:rPr>
          <w:rFonts w:hint="eastAsia" w:ascii="宋体" w:hAnsi="宋体" w:cs="宋体"/>
          <w:color w:val="auto"/>
          <w:sz w:val="24"/>
          <w:highlight w:val="none"/>
        </w:rPr>
        <w:t>6.1.6.1供应商为非联合体的情况：</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小型企业、微型企业、监狱企业、残疾人福利性单位，其评审价=磋商最终报价*（1-6%）；</w:t>
      </w:r>
    </w:p>
    <w:p>
      <w:pPr>
        <w:rPr>
          <w:rFonts w:ascii="宋体" w:hAnsi="宋体" w:cs="宋体"/>
          <w:color w:val="auto"/>
          <w:sz w:val="24"/>
          <w:highlight w:val="none"/>
        </w:rPr>
      </w:pPr>
      <w:r>
        <w:rPr>
          <w:rFonts w:hint="eastAsia" w:ascii="宋体" w:hAnsi="宋体" w:cs="宋体"/>
          <w:color w:val="auto"/>
          <w:sz w:val="24"/>
          <w:highlight w:val="none"/>
        </w:rPr>
        <w:t>6.1.6.2</w:t>
      </w:r>
      <w:r>
        <w:rPr>
          <w:rFonts w:hint="eastAsia" w:ascii="宋体" w:hAnsi="宋体" w:cs="宋体"/>
          <w:bCs/>
          <w:color w:val="auto"/>
          <w:sz w:val="24"/>
          <w:highlight w:val="none"/>
        </w:rPr>
        <w:t>供应商</w:t>
      </w:r>
      <w:r>
        <w:rPr>
          <w:rFonts w:hint="eastAsia" w:ascii="宋体" w:hAnsi="宋体" w:cs="宋体"/>
          <w:color w:val="auto"/>
          <w:sz w:val="24"/>
          <w:highlight w:val="none"/>
        </w:rPr>
        <w:t>为联合体报价且联合协议中约定小型、微型企业、监狱企业、残疾人福利性单位的协议合同金额占到联合体协议合同总金额30％以上的，按照以下规则进行评审价计算：其评审价=磋商最后报价*（1-2%）；</w:t>
      </w:r>
    </w:p>
    <w:p>
      <w:pPr>
        <w:rPr>
          <w:rFonts w:ascii="宋体" w:hAnsi="宋体" w:cs="宋体"/>
          <w:color w:val="auto"/>
          <w:sz w:val="24"/>
          <w:highlight w:val="none"/>
        </w:rPr>
      </w:pPr>
      <w:r>
        <w:rPr>
          <w:rFonts w:hint="eastAsia" w:ascii="宋体" w:hAnsi="宋体" w:cs="宋体"/>
          <w:color w:val="auto"/>
          <w:sz w:val="24"/>
          <w:highlight w:val="none"/>
        </w:rPr>
        <w:t>6.1.6.3磋商服务涉及提供的所有磋商产品进入“节能产品政府采购清单” （且产品的国家节能产品认证证书在有效期内）的，其评审价=磋商最后报价*（1-3%）；（在投标报价时必须对此类产品单独分项报价，计算出小计及占投标报价总金额的百分比，并提供产品的证明资料，未提供节能、环保、环境标志产品计分明细表及产品的证明资料的不给予计分。）；</w:t>
      </w:r>
    </w:p>
    <w:p>
      <w:pPr>
        <w:rPr>
          <w:rFonts w:ascii="宋体" w:hAnsi="宋体" w:cs="宋体"/>
          <w:color w:val="auto"/>
          <w:sz w:val="24"/>
          <w:highlight w:val="none"/>
        </w:rPr>
      </w:pPr>
      <w:r>
        <w:rPr>
          <w:rFonts w:hint="eastAsia" w:ascii="宋体" w:hAnsi="宋体" w:cs="宋体"/>
          <w:color w:val="auto"/>
          <w:sz w:val="24"/>
          <w:highlight w:val="none"/>
        </w:rPr>
        <w:t>6.1.6.4磋商服务涉及提供的所有磋商产品进入“环境标志产品政府采购清单”（且产品的中国环境标志产品认证证书在有效期内）的，其评审价=磋商最后报价*（1-3%）；（不是所有磋商产品的不享受此项优惠）；</w:t>
      </w:r>
    </w:p>
    <w:p>
      <w:pPr>
        <w:spacing w:line="360" w:lineRule="auto"/>
        <w:rPr>
          <w:rFonts w:ascii="宋体" w:hAnsi="宋体" w:cs="宋体"/>
          <w:color w:val="auto"/>
          <w:highlight w:val="none"/>
        </w:rPr>
      </w:pPr>
      <w:r>
        <w:rPr>
          <w:rFonts w:hint="eastAsia" w:ascii="宋体" w:hAnsi="宋体" w:cs="宋体"/>
          <w:color w:val="auto"/>
          <w:sz w:val="24"/>
          <w:highlight w:val="none"/>
        </w:rPr>
        <w:t>6.2对于不享受以上政策性优惠价格调整的，其评审价=</w:t>
      </w:r>
      <w:r>
        <w:rPr>
          <w:rFonts w:hint="eastAsia" w:ascii="宋体" w:hAnsi="宋体" w:cs="宋体"/>
          <w:bCs/>
          <w:color w:val="auto"/>
          <w:sz w:val="24"/>
          <w:highlight w:val="none"/>
        </w:rPr>
        <w:t>供应商</w:t>
      </w:r>
      <w:r>
        <w:rPr>
          <w:rFonts w:hint="eastAsia" w:ascii="宋体" w:hAnsi="宋体" w:cs="宋体"/>
          <w:color w:val="auto"/>
          <w:sz w:val="24"/>
          <w:highlight w:val="none"/>
        </w:rPr>
        <w:t>提交的磋商最终报价。</w:t>
      </w:r>
    </w:p>
    <w:p>
      <w:pPr>
        <w:spacing w:line="420" w:lineRule="exact"/>
        <w:ind w:firstLine="327" w:firstLineChars="149"/>
        <w:rPr>
          <w:rFonts w:ascii="宋体" w:hAnsi="宋体" w:cs="宋体"/>
          <w:color w:val="auto"/>
          <w:sz w:val="22"/>
          <w:szCs w:val="22"/>
          <w:highlight w:val="none"/>
        </w:rPr>
      </w:pPr>
    </w:p>
    <w:sectPr>
      <w:pgSz w:w="11906" w:h="16838"/>
      <w:pgMar w:top="1440" w:right="1417"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Menlo">
    <w:altName w:val="Courier New"/>
    <w:panose1 w:val="00000000000000000000"/>
    <w:charset w:val="00"/>
    <w:family w:val="auto"/>
    <w:pitch w:val="default"/>
    <w:sig w:usb0="00000000" w:usb1="00000000" w:usb2="00000000" w:usb3="00000000" w:csb0="00000000" w:csb1="00000000"/>
  </w:font>
  <w:font w:name="Lucida Grande">
    <w:altName w:val="Arial"/>
    <w:panose1 w:val="00000000000000000000"/>
    <w:charset w:val="00"/>
    <w:family w:val="auto"/>
    <w:pitch w:val="default"/>
    <w:sig w:usb0="00000000" w:usb1="00000000" w:usb2="00000000" w:usb3="00000000" w:csb0="000001B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pPr>
    <w:r>
      <w:rPr>
        <w:sz w:val="18"/>
      </w:rPr>
      <mc:AlternateContent>
        <mc:Choice Requires="wps">
          <w:drawing>
            <wp:anchor distT="0" distB="0" distL="114300" distR="114300" simplePos="0" relativeHeight="251658240"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wps:spPr>
                    <wps:txbx>
                      <w:txbxContent>
                        <w:p>
                          <w:pPr>
                            <w:pStyle w:val="17"/>
                            <w:jc w:val="both"/>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- 28 -</w:t>
                          </w:r>
                          <w:r>
                            <w:rPr>
                              <w:rFonts w:hint="eastAsia"/>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8240;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E5QoNcAAAAJAQAADwAAAAAAAAABACAAAAAiAAAAZHJz&#10;L2Rvd25yZXYueG1sUEsBAhQAFAAAAAgAh07iQGx6hm2TAQAAJQMAAA4AAAAAAAAAAQAgAAAAJgEA&#10;AGRycy9lMm9Eb2MueG1sUEsFBgAAAAAGAAYAWQEAACsFAAAAAA==&#10;">
              <v:fill on="f" focussize="0,0"/>
              <v:stroke on="f" weight="0.5pt"/>
              <v:imagedata o:title=""/>
              <o:lock v:ext="edit" aspectratio="f"/>
              <v:textbox inset="0mm,0mm,0mm,0mm">
                <w:txbxContent>
                  <w:p>
                    <w:pPr>
                      <w:pStyle w:val="17"/>
                      <w:jc w:val="both"/>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- 28 -</w:t>
                    </w:r>
                    <w:r>
                      <w:rPr>
                        <w:rFonts w:hint="eastAsia"/>
                        <w:sz w:val="21"/>
                        <w:szCs w:val="21"/>
                      </w:rPr>
                      <w:fldChar w:fldCharType="end"/>
                    </w:r>
                  </w:p>
                </w:txbxContent>
              </v:textbox>
            </v:shape>
          </w:pict>
        </mc:Fallback>
      </mc:AlternateContent>
    </w:r>
    <w:r>
      <w:rPr>
        <w:rFonts w:hint="eastAsia"/>
      </w:rPr>
      <w:t xml:space="preserve">陕西德仁招标有限公司 </w:t>
    </w:r>
    <w:r>
      <w:rPr>
        <w:rFonts w:hint="eastAsia"/>
      </w:rPr>
      <w:tab/>
    </w:r>
    <w:r>
      <w:rPr>
        <w:rFonts w:hint="eastAsia"/>
      </w:rPr>
      <w:t xml:space="preserve">    西安市沣惠南路华晶商务广场B座1幢2301室      029-85565073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spacing w:before="100" w:beforeAutospacing="1" w:after="100" w:afterAutospacing="1"/>
      <w:ind w:left="200" w:hanging="200" w:hangingChars="100"/>
      <w:jc w:val="left"/>
      <w:rPr>
        <w:sz w:val="20"/>
        <w:szCs w:val="20"/>
        <w:u w:val="single"/>
      </w:rPr>
    </w:pPr>
    <w:r>
      <w:rPr>
        <w:rFonts w:hint="eastAsia"/>
        <w:sz w:val="20"/>
        <w:szCs w:val="20"/>
      </w:rPr>
      <w:t xml:space="preserve">陕西学前师范学院学生培养综合提升项目                                   DRZB2019-ZC-034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spacing w:before="100" w:beforeAutospacing="1" w:after="100" w:afterAutospacing="1"/>
      <w:jc w:val="left"/>
      <w:rPr>
        <w:sz w:val="20"/>
        <w:szCs w:val="20"/>
        <w:u w:val="single"/>
      </w:rPr>
    </w:pPr>
    <w:r>
      <w:rPr>
        <w:rFonts w:hint="eastAsia"/>
        <w:sz w:val="20"/>
        <w:szCs w:val="20"/>
        <w:lang w:eastAsia="zh-CN"/>
      </w:rPr>
      <w:t>陕西省退役军人事务厅优抚对象2020年春节慰问年画采购项目</w:t>
    </w:r>
    <w:r>
      <w:rPr>
        <w:rFonts w:hint="eastAsia"/>
        <w:sz w:val="20"/>
        <w:szCs w:val="20"/>
      </w:rPr>
      <w:t xml:space="preserve">                     DRZB2019-ZC-204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A1E1B"/>
    <w:multiLevelType w:val="singleLevel"/>
    <w:tmpl w:val="A12A1E1B"/>
    <w:lvl w:ilvl="0" w:tentative="0">
      <w:start w:val="1"/>
      <w:numFmt w:val="chineseCounting"/>
      <w:suff w:val="nothing"/>
      <w:lvlText w:val="%1、"/>
      <w:lvlJc w:val="left"/>
      <w:rPr>
        <w:rFonts w:hint="eastAsia"/>
      </w:rPr>
    </w:lvl>
  </w:abstractNum>
  <w:abstractNum w:abstractNumId="1">
    <w:nsid w:val="B1A6DD53"/>
    <w:multiLevelType w:val="singleLevel"/>
    <w:tmpl w:val="B1A6DD53"/>
    <w:lvl w:ilvl="0" w:tentative="0">
      <w:start w:val="1"/>
      <w:numFmt w:val="decimalEnclosedCircleChinese"/>
      <w:suff w:val="nothing"/>
      <w:lvlText w:val="%1　"/>
      <w:lvlJc w:val="left"/>
      <w:pPr>
        <w:ind w:left="0" w:firstLine="400"/>
      </w:pPr>
      <w:rPr>
        <w:rFonts w:hint="eastAsia"/>
      </w:rPr>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5"/>
    <w:multiLevelType w:val="singleLevel"/>
    <w:tmpl w:val="00000005"/>
    <w:lvl w:ilvl="0" w:tentative="0">
      <w:start w:val="3"/>
      <w:numFmt w:val="chineseCounting"/>
      <w:suff w:val="space"/>
      <w:lvlText w:val="第%1部分"/>
      <w:lvlJc w:val="left"/>
      <w:rPr>
        <w:rFonts w:hint="eastAsia"/>
      </w:rPr>
    </w:lvl>
  </w:abstractNum>
  <w:abstractNum w:abstractNumId="4">
    <w:nsid w:val="00000009"/>
    <w:multiLevelType w:val="multilevel"/>
    <w:tmpl w:val="00000009"/>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6">
    <w:nsid w:val="1E57DDBF"/>
    <w:multiLevelType w:val="singleLevel"/>
    <w:tmpl w:val="1E57DDBF"/>
    <w:lvl w:ilvl="0" w:tentative="0">
      <w:start w:val="1"/>
      <w:numFmt w:val="decimal"/>
      <w:suff w:val="nothing"/>
      <w:lvlText w:val="%1、"/>
      <w:lvlJc w:val="left"/>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8D"/>
    <w:rsid w:val="00043A0D"/>
    <w:rsid w:val="00045B6E"/>
    <w:rsid w:val="000603FA"/>
    <w:rsid w:val="00065903"/>
    <w:rsid w:val="00081C0A"/>
    <w:rsid w:val="00097497"/>
    <w:rsid w:val="000A1623"/>
    <w:rsid w:val="000C5BA5"/>
    <w:rsid w:val="00116A4C"/>
    <w:rsid w:val="001332DA"/>
    <w:rsid w:val="0017228C"/>
    <w:rsid w:val="001869C2"/>
    <w:rsid w:val="001957A3"/>
    <w:rsid w:val="001B077F"/>
    <w:rsid w:val="001C1793"/>
    <w:rsid w:val="001C537A"/>
    <w:rsid w:val="001E2635"/>
    <w:rsid w:val="001E7A82"/>
    <w:rsid w:val="001F42FB"/>
    <w:rsid w:val="0021773E"/>
    <w:rsid w:val="00217B7F"/>
    <w:rsid w:val="00220C72"/>
    <w:rsid w:val="0027456F"/>
    <w:rsid w:val="0028148D"/>
    <w:rsid w:val="002A7CF0"/>
    <w:rsid w:val="002B4B28"/>
    <w:rsid w:val="002D30FB"/>
    <w:rsid w:val="002E0086"/>
    <w:rsid w:val="002E3966"/>
    <w:rsid w:val="0030690A"/>
    <w:rsid w:val="003B6127"/>
    <w:rsid w:val="004135EA"/>
    <w:rsid w:val="00445A69"/>
    <w:rsid w:val="004477EC"/>
    <w:rsid w:val="00461338"/>
    <w:rsid w:val="004E0BD4"/>
    <w:rsid w:val="004E7EF1"/>
    <w:rsid w:val="00501C25"/>
    <w:rsid w:val="00506A7A"/>
    <w:rsid w:val="00513252"/>
    <w:rsid w:val="005226FA"/>
    <w:rsid w:val="00545E85"/>
    <w:rsid w:val="00557973"/>
    <w:rsid w:val="00611CF1"/>
    <w:rsid w:val="006245C7"/>
    <w:rsid w:val="00662882"/>
    <w:rsid w:val="00723B28"/>
    <w:rsid w:val="0076040A"/>
    <w:rsid w:val="00777C69"/>
    <w:rsid w:val="007B74D1"/>
    <w:rsid w:val="007F3F46"/>
    <w:rsid w:val="007F527C"/>
    <w:rsid w:val="00801859"/>
    <w:rsid w:val="0084226B"/>
    <w:rsid w:val="008511F4"/>
    <w:rsid w:val="00863FB7"/>
    <w:rsid w:val="008B10E9"/>
    <w:rsid w:val="008C0751"/>
    <w:rsid w:val="008F275F"/>
    <w:rsid w:val="009126A7"/>
    <w:rsid w:val="00956B2D"/>
    <w:rsid w:val="009927F3"/>
    <w:rsid w:val="009F70E2"/>
    <w:rsid w:val="00A002E6"/>
    <w:rsid w:val="00A10043"/>
    <w:rsid w:val="00A66BCB"/>
    <w:rsid w:val="00A764EE"/>
    <w:rsid w:val="00AB124C"/>
    <w:rsid w:val="00B719B3"/>
    <w:rsid w:val="00BA025B"/>
    <w:rsid w:val="00BA7350"/>
    <w:rsid w:val="00BB142F"/>
    <w:rsid w:val="00BD5B2C"/>
    <w:rsid w:val="00BE0CF2"/>
    <w:rsid w:val="00BE678D"/>
    <w:rsid w:val="00BF552B"/>
    <w:rsid w:val="00BF779E"/>
    <w:rsid w:val="00C0521C"/>
    <w:rsid w:val="00D2725C"/>
    <w:rsid w:val="00D44584"/>
    <w:rsid w:val="00DE2005"/>
    <w:rsid w:val="00DF5EF5"/>
    <w:rsid w:val="00E0176B"/>
    <w:rsid w:val="00E35798"/>
    <w:rsid w:val="00E465C0"/>
    <w:rsid w:val="00E96FDA"/>
    <w:rsid w:val="00F43F53"/>
    <w:rsid w:val="00F876E7"/>
    <w:rsid w:val="00FC5E29"/>
    <w:rsid w:val="09B32C87"/>
    <w:rsid w:val="09E02E6F"/>
    <w:rsid w:val="0A0B19A8"/>
    <w:rsid w:val="0A825B11"/>
    <w:rsid w:val="117D028D"/>
    <w:rsid w:val="136B4277"/>
    <w:rsid w:val="19035052"/>
    <w:rsid w:val="1B457073"/>
    <w:rsid w:val="1BCA1590"/>
    <w:rsid w:val="1CA85E46"/>
    <w:rsid w:val="1EFF6B48"/>
    <w:rsid w:val="205310CF"/>
    <w:rsid w:val="22934AD2"/>
    <w:rsid w:val="22AF0D33"/>
    <w:rsid w:val="24EB0296"/>
    <w:rsid w:val="2926733A"/>
    <w:rsid w:val="2E3E638D"/>
    <w:rsid w:val="2E766669"/>
    <w:rsid w:val="31B3122F"/>
    <w:rsid w:val="37C337CD"/>
    <w:rsid w:val="386237C7"/>
    <w:rsid w:val="38D51E80"/>
    <w:rsid w:val="38E16B12"/>
    <w:rsid w:val="3A5C05D3"/>
    <w:rsid w:val="3BAE6679"/>
    <w:rsid w:val="42214965"/>
    <w:rsid w:val="438235F5"/>
    <w:rsid w:val="450E3C7D"/>
    <w:rsid w:val="490C3F55"/>
    <w:rsid w:val="4D00037B"/>
    <w:rsid w:val="4D6421A1"/>
    <w:rsid w:val="4F631A95"/>
    <w:rsid w:val="515E041A"/>
    <w:rsid w:val="533C7C39"/>
    <w:rsid w:val="53E0645B"/>
    <w:rsid w:val="55A0224B"/>
    <w:rsid w:val="55D24547"/>
    <w:rsid w:val="567E55E0"/>
    <w:rsid w:val="57662601"/>
    <w:rsid w:val="5AB8771B"/>
    <w:rsid w:val="5B2A24B5"/>
    <w:rsid w:val="5E683F93"/>
    <w:rsid w:val="60EC10DB"/>
    <w:rsid w:val="62127AB7"/>
    <w:rsid w:val="628337CD"/>
    <w:rsid w:val="633E139F"/>
    <w:rsid w:val="6825519A"/>
    <w:rsid w:val="68F20A7E"/>
    <w:rsid w:val="6A935E99"/>
    <w:rsid w:val="6AC360AA"/>
    <w:rsid w:val="6CB73081"/>
    <w:rsid w:val="6D0443EC"/>
    <w:rsid w:val="6F0C4592"/>
    <w:rsid w:val="6FCA1EA2"/>
    <w:rsid w:val="70720FFE"/>
    <w:rsid w:val="78CB1AC5"/>
    <w:rsid w:val="7AF43536"/>
    <w:rsid w:val="7BC97A9E"/>
    <w:rsid w:val="7E272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4">
    <w:name w:val="heading 2"/>
    <w:basedOn w:val="1"/>
    <w:next w:val="1"/>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6"/>
    <w:qFormat/>
    <w:uiPriority w:val="0"/>
    <w:pPr>
      <w:keepNext/>
      <w:keepLines/>
      <w:spacing w:line="415" w:lineRule="auto"/>
      <w:outlineLvl w:val="2"/>
    </w:pPr>
    <w:rPr>
      <w:b/>
      <w:bCs/>
      <w:sz w:val="32"/>
      <w:szCs w:val="32"/>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8">
    <w:name w:val="heading 6"/>
    <w:basedOn w:val="1"/>
    <w:next w:val="1"/>
    <w:link w:val="51"/>
    <w:qFormat/>
    <w:uiPriority w:val="99"/>
    <w:pPr>
      <w:keepNext/>
      <w:keepLines/>
      <w:spacing w:before="240" w:after="64" w:line="320" w:lineRule="auto"/>
      <w:outlineLvl w:val="5"/>
    </w:pPr>
    <w:rPr>
      <w:rFonts w:ascii="Calibri Light" w:hAnsi="Calibri Light"/>
      <w:b/>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szCs w:val="22"/>
    </w:rPr>
  </w:style>
  <w:style w:type="paragraph" w:customStyle="1" w:styleId="6">
    <w:name w:val="方案正文"/>
    <w:basedOn w:val="1"/>
    <w:qFormat/>
    <w:uiPriority w:val="0"/>
    <w:pPr>
      <w:widowControl/>
      <w:spacing w:line="360" w:lineRule="auto"/>
      <w:ind w:firstLine="504"/>
      <w:jc w:val="left"/>
    </w:pPr>
    <w:rPr>
      <w:rFonts w:ascii="宋体" w:hAnsi="宋体"/>
      <w:kern w:val="0"/>
      <w:sz w:val="24"/>
      <w:szCs w:val="28"/>
    </w:rPr>
  </w:style>
  <w:style w:type="paragraph" w:styleId="9">
    <w:name w:val="Normal Indent"/>
    <w:basedOn w:val="1"/>
    <w:qFormat/>
    <w:uiPriority w:val="0"/>
    <w:pPr>
      <w:spacing w:line="300" w:lineRule="auto"/>
      <w:ind w:firstLine="420" w:firstLineChars="200"/>
    </w:pPr>
  </w:style>
  <w:style w:type="paragraph" w:styleId="10">
    <w:name w:val="annotation text"/>
    <w:basedOn w:val="1"/>
    <w:link w:val="55"/>
    <w:qFormat/>
    <w:uiPriority w:val="0"/>
    <w:pPr>
      <w:jc w:val="left"/>
    </w:pPr>
  </w:style>
  <w:style w:type="paragraph" w:styleId="11">
    <w:name w:val="Body Text"/>
    <w:basedOn w:val="1"/>
    <w:next w:val="1"/>
    <w:qFormat/>
    <w:uiPriority w:val="0"/>
    <w:rPr>
      <w:color w:val="993300"/>
      <w:sz w:val="24"/>
    </w:rPr>
  </w:style>
  <w:style w:type="paragraph" w:styleId="12">
    <w:name w:val="Body Text Indent"/>
    <w:basedOn w:val="1"/>
    <w:qFormat/>
    <w:uiPriority w:val="0"/>
    <w:pPr>
      <w:tabs>
        <w:tab w:val="left" w:pos="8640"/>
      </w:tabs>
      <w:ind w:firstLine="420"/>
    </w:pPr>
    <w:rPr>
      <w:rFonts w:ascii="楷体_GB2312" w:eastAsia="楷体_GB2312"/>
      <w:color w:val="000000"/>
      <w:sz w:val="28"/>
    </w:rPr>
  </w:style>
  <w:style w:type="paragraph" w:styleId="13">
    <w:name w:val="Block Text"/>
    <w:basedOn w:val="1"/>
    <w:qFormat/>
    <w:uiPriority w:val="0"/>
    <w:pPr>
      <w:adjustRightInd w:val="0"/>
      <w:ind w:left="420" w:right="33"/>
      <w:jc w:val="left"/>
      <w:textAlignment w:val="baseline"/>
    </w:pPr>
    <w:rPr>
      <w:kern w:val="0"/>
      <w:sz w:val="24"/>
    </w:rPr>
  </w:style>
  <w:style w:type="paragraph" w:styleId="14">
    <w:name w:val="Plain Text"/>
    <w:basedOn w:val="1"/>
    <w:link w:val="39"/>
    <w:qFormat/>
    <w:uiPriority w:val="99"/>
    <w:rPr>
      <w:rFonts w:ascii="宋体" w:hAnsi="Courier New" w:cs="Courier New"/>
      <w:szCs w:val="21"/>
    </w:rPr>
  </w:style>
  <w:style w:type="paragraph" w:styleId="15">
    <w:name w:val="Date"/>
    <w:basedOn w:val="1"/>
    <w:next w:val="1"/>
    <w:qFormat/>
    <w:uiPriority w:val="0"/>
    <w:rPr>
      <w:rFonts w:ascii="宋体"/>
      <w:sz w:val="24"/>
    </w:rPr>
  </w:style>
  <w:style w:type="paragraph" w:styleId="16">
    <w:name w:val="Balloon Text"/>
    <w:basedOn w:val="1"/>
    <w:link w:val="57"/>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2">
    <w:name w:val="annotation subject"/>
    <w:basedOn w:val="10"/>
    <w:next w:val="10"/>
    <w:link w:val="56"/>
    <w:qFormat/>
    <w:uiPriority w:val="0"/>
    <w:rPr>
      <w:b/>
      <w:bCs/>
    </w:rPr>
  </w:style>
  <w:style w:type="paragraph" w:styleId="23">
    <w:name w:val="Body Text First Indent"/>
    <w:basedOn w:val="11"/>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qFormat/>
    <w:uiPriority w:val="0"/>
    <w:rPr>
      <w:color w:val="555555"/>
      <w:u w:val="none"/>
    </w:rPr>
  </w:style>
  <w:style w:type="character" w:styleId="30">
    <w:name w:val="Emphasis"/>
    <w:basedOn w:val="26"/>
    <w:qFormat/>
    <w:uiPriority w:val="0"/>
  </w:style>
  <w:style w:type="character" w:styleId="31">
    <w:name w:val="HTML Definition"/>
    <w:basedOn w:val="26"/>
    <w:qFormat/>
    <w:uiPriority w:val="0"/>
    <w:rPr>
      <w:i/>
    </w:rPr>
  </w:style>
  <w:style w:type="character" w:styleId="32">
    <w:name w:val="Hyperlink"/>
    <w:basedOn w:val="26"/>
    <w:qFormat/>
    <w:uiPriority w:val="99"/>
    <w:rPr>
      <w:rFonts w:hint="eastAsia" w:ascii="宋体" w:hAnsi="宋体" w:eastAsia="宋体" w:cs="宋体"/>
      <w:color w:val="000000"/>
      <w:sz w:val="18"/>
      <w:szCs w:val="18"/>
      <w:u w:val="none"/>
    </w:rPr>
  </w:style>
  <w:style w:type="character" w:styleId="33">
    <w:name w:val="HTML Code"/>
    <w:basedOn w:val="26"/>
    <w:qFormat/>
    <w:uiPriority w:val="0"/>
    <w:rPr>
      <w:rFonts w:hint="default" w:ascii="Menlo" w:hAnsi="Menlo" w:eastAsia="Menlo" w:cs="Menlo"/>
      <w:color w:val="C7254E"/>
      <w:sz w:val="21"/>
      <w:szCs w:val="21"/>
      <w:shd w:val="clear" w:color="auto" w:fill="F9F2F4"/>
    </w:rPr>
  </w:style>
  <w:style w:type="character" w:styleId="34">
    <w:name w:val="annotation reference"/>
    <w:basedOn w:val="26"/>
    <w:qFormat/>
    <w:uiPriority w:val="0"/>
    <w:rPr>
      <w:sz w:val="21"/>
      <w:szCs w:val="21"/>
    </w:rPr>
  </w:style>
  <w:style w:type="character" w:styleId="35">
    <w:name w:val="HTML Keyboard"/>
    <w:basedOn w:val="26"/>
    <w:qFormat/>
    <w:uiPriority w:val="0"/>
    <w:rPr>
      <w:rFonts w:ascii="Menlo" w:hAnsi="Menlo" w:eastAsia="Menlo" w:cs="Menlo"/>
      <w:color w:val="FFFFFF"/>
      <w:sz w:val="21"/>
      <w:szCs w:val="21"/>
      <w:shd w:val="clear" w:color="auto" w:fill="333333"/>
    </w:rPr>
  </w:style>
  <w:style w:type="character" w:styleId="36">
    <w:name w:val="HTML Sample"/>
    <w:basedOn w:val="26"/>
    <w:qFormat/>
    <w:uiPriority w:val="0"/>
    <w:rPr>
      <w:rFonts w:hint="default" w:ascii="Menlo" w:hAnsi="Menlo" w:eastAsia="Menlo" w:cs="Menlo"/>
      <w:sz w:val="21"/>
      <w:szCs w:val="21"/>
    </w:rPr>
  </w:style>
  <w:style w:type="paragraph" w:customStyle="1" w:styleId="3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38">
    <w:name w:val="List Paragraph"/>
    <w:basedOn w:val="1"/>
    <w:qFormat/>
    <w:uiPriority w:val="34"/>
    <w:pPr>
      <w:ind w:firstLine="420" w:firstLineChars="200"/>
    </w:pPr>
  </w:style>
  <w:style w:type="character" w:customStyle="1" w:styleId="39">
    <w:name w:val="纯文本 Char"/>
    <w:link w:val="14"/>
    <w:qFormat/>
    <w:uiPriority w:val="99"/>
    <w:rPr>
      <w:rFonts w:ascii="宋体" w:hAnsi="Courier New" w:cs="Courier New"/>
      <w:kern w:val="2"/>
      <w:sz w:val="21"/>
      <w:szCs w:val="21"/>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2">
    <w:name w:val="hour_am"/>
    <w:basedOn w:val="26"/>
    <w:qFormat/>
    <w:uiPriority w:val="0"/>
  </w:style>
  <w:style w:type="character" w:customStyle="1" w:styleId="43">
    <w:name w:val="old"/>
    <w:basedOn w:val="26"/>
    <w:qFormat/>
    <w:uiPriority w:val="0"/>
    <w:rPr>
      <w:color w:val="999999"/>
    </w:rPr>
  </w:style>
  <w:style w:type="character" w:customStyle="1" w:styleId="44">
    <w:name w:val="tmpztreemove_arrow"/>
    <w:basedOn w:val="26"/>
    <w:qFormat/>
    <w:uiPriority w:val="0"/>
    <w:rPr>
      <w:shd w:val="clear" w:color="auto" w:fill="FFFFFF"/>
    </w:rPr>
  </w:style>
  <w:style w:type="character" w:customStyle="1" w:styleId="45">
    <w:name w:val="hover3"/>
    <w:basedOn w:val="26"/>
    <w:qFormat/>
    <w:uiPriority w:val="0"/>
    <w:rPr>
      <w:shd w:val="clear" w:color="auto" w:fill="EEEEEE"/>
    </w:rPr>
  </w:style>
  <w:style w:type="character" w:customStyle="1" w:styleId="46">
    <w:name w:val="glyphicon4"/>
    <w:basedOn w:val="26"/>
    <w:qFormat/>
    <w:uiPriority w:val="0"/>
  </w:style>
  <w:style w:type="character" w:customStyle="1" w:styleId="47">
    <w:name w:val="hour_pm"/>
    <w:basedOn w:val="26"/>
    <w:qFormat/>
    <w:uiPriority w:val="0"/>
  </w:style>
  <w:style w:type="character" w:customStyle="1" w:styleId="48">
    <w:name w:val="button"/>
    <w:basedOn w:val="26"/>
    <w:qFormat/>
    <w:uiPriority w:val="0"/>
  </w:style>
  <w:style w:type="paragraph" w:customStyle="1" w:styleId="49">
    <w:name w:val="样式1"/>
    <w:basedOn w:val="1"/>
    <w:qFormat/>
    <w:uiPriority w:val="0"/>
    <w:pPr>
      <w:adjustRightInd w:val="0"/>
      <w:textAlignment w:val="baseline"/>
    </w:pPr>
    <w:rPr>
      <w:rFonts w:ascii="宋体" w:hAnsi="宋体"/>
      <w:kern w:val="0"/>
      <w:szCs w:val="21"/>
    </w:rPr>
  </w:style>
  <w:style w:type="character" w:customStyle="1" w:styleId="50">
    <w:name w:val="indent"/>
    <w:basedOn w:val="26"/>
    <w:qFormat/>
    <w:uiPriority w:val="0"/>
  </w:style>
  <w:style w:type="character" w:customStyle="1" w:styleId="51">
    <w:name w:val="标题 6 Char"/>
    <w:basedOn w:val="26"/>
    <w:link w:val="8"/>
    <w:qFormat/>
    <w:uiPriority w:val="99"/>
    <w:rPr>
      <w:rFonts w:ascii="Calibri Light" w:hAnsi="Calibri Light"/>
      <w:b/>
      <w:bCs/>
      <w:kern w:val="2"/>
      <w:sz w:val="24"/>
      <w:szCs w:val="24"/>
    </w:rPr>
  </w:style>
  <w:style w:type="paragraph" w:customStyle="1" w:styleId="52">
    <w:name w:val="my-正文"/>
    <w:basedOn w:val="1"/>
    <w:qFormat/>
    <w:uiPriority w:val="0"/>
    <w:pPr>
      <w:spacing w:line="360" w:lineRule="auto"/>
    </w:pPr>
    <w:rPr>
      <w:rFonts w:ascii="宋体" w:hAnsi="宋体"/>
      <w:sz w:val="24"/>
      <w:lang w:val="zh-CN"/>
    </w:rPr>
  </w:style>
  <w:style w:type="paragraph" w:customStyle="1" w:styleId="53">
    <w:name w:val="样式 首行缩进:  2 字符"/>
    <w:basedOn w:val="1"/>
    <w:qFormat/>
    <w:uiPriority w:val="0"/>
    <w:pPr>
      <w:spacing w:line="400" w:lineRule="exact"/>
      <w:ind w:firstLine="200" w:firstLineChars="200"/>
    </w:pPr>
    <w:rPr>
      <w:rFonts w:cs="宋体"/>
    </w:rPr>
  </w:style>
  <w:style w:type="paragraph" w:customStyle="1" w:styleId="54">
    <w:name w:val="p1"/>
    <w:basedOn w:val="1"/>
    <w:qFormat/>
    <w:uiPriority w:val="0"/>
    <w:pPr>
      <w:widowControl/>
    </w:pPr>
    <w:rPr>
      <w:rFonts w:ascii="Lucida Grande" w:hAnsi="Lucida Grande" w:cs="Lucida Grande"/>
      <w:color w:val="323333"/>
      <w:kern w:val="0"/>
      <w:szCs w:val="21"/>
    </w:rPr>
  </w:style>
  <w:style w:type="character" w:customStyle="1" w:styleId="55">
    <w:name w:val="批注文字 Char"/>
    <w:basedOn w:val="26"/>
    <w:link w:val="10"/>
    <w:qFormat/>
    <w:uiPriority w:val="0"/>
    <w:rPr>
      <w:kern w:val="2"/>
      <w:sz w:val="21"/>
      <w:szCs w:val="24"/>
    </w:rPr>
  </w:style>
  <w:style w:type="character" w:customStyle="1" w:styleId="56">
    <w:name w:val="批注主题 Char"/>
    <w:basedOn w:val="55"/>
    <w:link w:val="22"/>
    <w:qFormat/>
    <w:uiPriority w:val="0"/>
    <w:rPr>
      <w:b/>
      <w:bCs/>
      <w:kern w:val="2"/>
      <w:sz w:val="21"/>
      <w:szCs w:val="24"/>
    </w:rPr>
  </w:style>
  <w:style w:type="character" w:customStyle="1" w:styleId="57">
    <w:name w:val="批注框文本 Char"/>
    <w:basedOn w:val="26"/>
    <w:link w:val="16"/>
    <w:qFormat/>
    <w:uiPriority w:val="0"/>
    <w:rPr>
      <w:kern w:val="2"/>
      <w:sz w:val="18"/>
      <w:szCs w:val="18"/>
    </w:rPr>
  </w:style>
  <w:style w:type="paragraph" w:customStyle="1" w:styleId="58">
    <w:name w:val="title1"/>
    <w:basedOn w:val="1"/>
    <w:qFormat/>
    <w:uiPriority w:val="0"/>
    <w:pPr>
      <w:spacing w:before="150"/>
      <w:jc w:val="left"/>
    </w:pPr>
    <w:rPr>
      <w:b/>
      <w:kern w:val="0"/>
      <w:sz w:val="22"/>
      <w:szCs w:val="22"/>
    </w:rPr>
  </w:style>
  <w:style w:type="character" w:customStyle="1" w:styleId="59">
    <w:name w:val="标题 1 Char Char"/>
    <w:qFormat/>
    <w:uiPriority w:val="0"/>
    <w:rPr>
      <w:rFonts w:eastAsia="宋体"/>
      <w:b/>
      <w:spacing w:val="-2"/>
      <w:sz w:val="24"/>
      <w:lang w:val="en-US" w:eastAsia="zh-CN" w:bidi="ar-SA"/>
    </w:rPr>
  </w:style>
  <w:style w:type="character" w:customStyle="1" w:styleId="60">
    <w:name w:val="apple-converted-space"/>
    <w:basedOn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C4649-4A9A-4227-B07C-C47A2AB220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35136</Words>
  <Characters>37350</Characters>
  <Lines>291</Lines>
  <Paragraphs>82</Paragraphs>
  <TotalTime>5</TotalTime>
  <ScaleCrop>false</ScaleCrop>
  <LinksUpToDate>false</LinksUpToDate>
  <CharactersWithSpaces>39038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2019-10-14T00:49:00Z</dcterms:created>
  <dc:creator>不言、不语</dc:creator>
  <cp:lastModifiedBy>皮卡丘</cp:lastModifiedBy>
  <cp:lastPrinted>2019-12-18T08:58:00Z</cp:lastPrinted>
  <dcterms:modified xsi:type="dcterms:W3CDTF">2019-12-30T10:45:47Z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